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F9" w:rsidRDefault="003614F9">
      <w:pPr>
        <w:spacing w:after="80"/>
        <w:jc w:val="center"/>
        <w:rPr>
          <w:b/>
          <w:sz w:val="28"/>
          <w:szCs w:val="28"/>
        </w:rPr>
      </w:pPr>
      <w:bookmarkStart w:id="0" w:name="_GoBack"/>
      <w:bookmarkEnd w:id="0"/>
    </w:p>
    <w:p w:rsidR="000A2DB4" w:rsidRPr="006A189D" w:rsidRDefault="007D5353">
      <w:pPr>
        <w:spacing w:after="80"/>
        <w:jc w:val="center"/>
        <w:rPr>
          <w:b/>
          <w:sz w:val="28"/>
          <w:szCs w:val="28"/>
        </w:rPr>
      </w:pPr>
      <w:r w:rsidRPr="006A189D">
        <w:rPr>
          <w:b/>
          <w:sz w:val="28"/>
          <w:szCs w:val="28"/>
        </w:rPr>
        <w:t>MINISTERSKÁ KONFERENCE SALCBURSKÉHO FÓRA</w:t>
      </w:r>
    </w:p>
    <w:p w:rsidR="000A2DB4" w:rsidRPr="006A189D" w:rsidRDefault="007D5353">
      <w:pPr>
        <w:spacing w:after="80"/>
        <w:jc w:val="center"/>
        <w:rPr>
          <w:b/>
          <w:sz w:val="24"/>
          <w:szCs w:val="24"/>
        </w:rPr>
      </w:pPr>
      <w:r w:rsidRPr="006A189D">
        <w:rPr>
          <w:b/>
          <w:sz w:val="24"/>
          <w:szCs w:val="24"/>
        </w:rPr>
        <w:t>Praha, Česká republika</w:t>
      </w:r>
    </w:p>
    <w:p w:rsidR="000A2DB4" w:rsidRPr="006A189D" w:rsidRDefault="007D5353">
      <w:pPr>
        <w:spacing w:after="80"/>
        <w:jc w:val="center"/>
        <w:rPr>
          <w:b/>
          <w:sz w:val="24"/>
          <w:szCs w:val="24"/>
        </w:rPr>
      </w:pPr>
      <w:r w:rsidRPr="006A189D">
        <w:rPr>
          <w:b/>
          <w:sz w:val="24"/>
          <w:szCs w:val="24"/>
        </w:rPr>
        <w:t>3</w:t>
      </w:r>
      <w:r w:rsidR="00380F01">
        <w:rPr>
          <w:b/>
          <w:sz w:val="24"/>
          <w:szCs w:val="24"/>
        </w:rPr>
        <w:t>.</w:t>
      </w:r>
      <w:r w:rsidR="00566616" w:rsidRPr="00566616">
        <w:rPr>
          <w:b/>
          <w:sz w:val="24"/>
          <w:szCs w:val="24"/>
        </w:rPr>
        <w:t>–</w:t>
      </w:r>
      <w:r w:rsidRPr="006A189D">
        <w:rPr>
          <w:b/>
          <w:sz w:val="24"/>
          <w:szCs w:val="24"/>
        </w:rPr>
        <w:t>4. listopadu 2016</w:t>
      </w:r>
    </w:p>
    <w:p w:rsidR="000A2DB4" w:rsidRPr="006A189D" w:rsidRDefault="000A2DB4">
      <w:pPr>
        <w:spacing w:after="80"/>
        <w:jc w:val="center"/>
        <w:rPr>
          <w:b/>
          <w:sz w:val="24"/>
          <w:szCs w:val="24"/>
        </w:rPr>
      </w:pPr>
    </w:p>
    <w:p w:rsidR="000A2DB4" w:rsidRPr="006A189D" w:rsidRDefault="006B0FFC">
      <w:pPr>
        <w:spacing w:after="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SPOLEČNÁ</w:t>
      </w:r>
      <w:r w:rsidR="006A189D">
        <w:rPr>
          <w:b/>
          <w:sz w:val="24"/>
          <w:szCs w:val="24"/>
        </w:rPr>
        <w:t xml:space="preserve"> DEKLARACE</w:t>
      </w:r>
    </w:p>
    <w:p w:rsidR="000A2DB4" w:rsidRPr="006A189D" w:rsidRDefault="000A2DB4">
      <w:pPr>
        <w:spacing w:after="80"/>
        <w:jc w:val="both"/>
        <w:rPr>
          <w:sz w:val="24"/>
          <w:szCs w:val="24"/>
        </w:rPr>
      </w:pPr>
    </w:p>
    <w:p w:rsidR="000A2DB4" w:rsidRPr="006A189D" w:rsidRDefault="007D5353">
      <w:pPr>
        <w:spacing w:after="80"/>
        <w:jc w:val="both"/>
        <w:rPr>
          <w:sz w:val="24"/>
          <w:szCs w:val="24"/>
        </w:rPr>
      </w:pPr>
      <w:r w:rsidRPr="006A189D">
        <w:rPr>
          <w:sz w:val="24"/>
          <w:szCs w:val="24"/>
        </w:rPr>
        <w:t xml:space="preserve">Ministři vnitra členských států </w:t>
      </w:r>
      <w:r w:rsidR="00665207">
        <w:rPr>
          <w:sz w:val="24"/>
          <w:szCs w:val="24"/>
        </w:rPr>
        <w:t>S</w:t>
      </w:r>
      <w:r w:rsidRPr="006A189D">
        <w:rPr>
          <w:sz w:val="24"/>
          <w:szCs w:val="24"/>
        </w:rPr>
        <w:t xml:space="preserve">alcburského fóra </w:t>
      </w:r>
      <w:r w:rsidR="00665207">
        <w:rPr>
          <w:sz w:val="24"/>
          <w:szCs w:val="24"/>
        </w:rPr>
        <w:t xml:space="preserve">se </w:t>
      </w:r>
      <w:r w:rsidR="00665207" w:rsidRPr="006A189D">
        <w:rPr>
          <w:sz w:val="24"/>
          <w:szCs w:val="24"/>
        </w:rPr>
        <w:t xml:space="preserve">na pozvání českého předsednictví </w:t>
      </w:r>
      <w:r w:rsidR="00665207">
        <w:rPr>
          <w:sz w:val="24"/>
          <w:szCs w:val="24"/>
        </w:rPr>
        <w:t>S</w:t>
      </w:r>
      <w:r w:rsidR="00665207" w:rsidRPr="006A189D">
        <w:rPr>
          <w:sz w:val="24"/>
          <w:szCs w:val="24"/>
        </w:rPr>
        <w:t xml:space="preserve">alcburského fóra </w:t>
      </w:r>
      <w:r w:rsidR="00665207">
        <w:rPr>
          <w:sz w:val="24"/>
          <w:szCs w:val="24"/>
        </w:rPr>
        <w:t xml:space="preserve">sešli </w:t>
      </w:r>
      <w:r w:rsidRPr="006A189D">
        <w:rPr>
          <w:sz w:val="24"/>
          <w:szCs w:val="24"/>
        </w:rPr>
        <w:t>ve dnech 3. a 4. listopadu 2016.</w:t>
      </w:r>
    </w:p>
    <w:p w:rsidR="000A2DB4" w:rsidRPr="006A189D" w:rsidRDefault="007D5353">
      <w:pPr>
        <w:spacing w:after="80"/>
        <w:jc w:val="both"/>
        <w:rPr>
          <w:sz w:val="24"/>
          <w:szCs w:val="24"/>
        </w:rPr>
      </w:pPr>
      <w:r w:rsidRPr="006A189D">
        <w:rPr>
          <w:sz w:val="24"/>
          <w:szCs w:val="24"/>
        </w:rPr>
        <w:t xml:space="preserve">Konference se zúčastnili </w:t>
      </w:r>
      <w:r w:rsidR="00A9546A">
        <w:rPr>
          <w:sz w:val="24"/>
          <w:szCs w:val="24"/>
        </w:rPr>
        <w:t>také ministři ze</w:t>
      </w:r>
      <w:r w:rsidRPr="006A189D">
        <w:rPr>
          <w:sz w:val="24"/>
          <w:szCs w:val="24"/>
        </w:rPr>
        <w:t xml:space="preserve"> skupiny Přátel </w:t>
      </w:r>
      <w:r w:rsidR="00A9546A">
        <w:rPr>
          <w:sz w:val="24"/>
          <w:szCs w:val="24"/>
        </w:rPr>
        <w:t xml:space="preserve">Salcburského fóra </w:t>
      </w:r>
      <w:r w:rsidRPr="006A189D">
        <w:rPr>
          <w:sz w:val="24"/>
          <w:szCs w:val="24"/>
        </w:rPr>
        <w:t>ze zemí západního Balkánu</w:t>
      </w:r>
      <w:r w:rsidR="005D0BCD">
        <w:rPr>
          <w:sz w:val="24"/>
          <w:szCs w:val="24"/>
        </w:rPr>
        <w:t xml:space="preserve"> a Moldavska a</w:t>
      </w:r>
      <w:r w:rsidRPr="006A189D">
        <w:rPr>
          <w:sz w:val="24"/>
          <w:szCs w:val="24"/>
        </w:rPr>
        <w:t xml:space="preserve"> zástupci Evropské komise, E</w:t>
      </w:r>
      <w:r w:rsidR="00A9546A">
        <w:rPr>
          <w:sz w:val="24"/>
          <w:szCs w:val="24"/>
        </w:rPr>
        <w:t xml:space="preserve">ASO, </w:t>
      </w:r>
      <w:proofErr w:type="spellStart"/>
      <w:r w:rsidRPr="006A189D">
        <w:rPr>
          <w:sz w:val="24"/>
          <w:szCs w:val="24"/>
        </w:rPr>
        <w:t>Europolu</w:t>
      </w:r>
      <w:proofErr w:type="spellEnd"/>
      <w:r w:rsidRPr="006A189D">
        <w:rPr>
          <w:sz w:val="24"/>
          <w:szCs w:val="24"/>
        </w:rPr>
        <w:t xml:space="preserve"> a </w:t>
      </w:r>
      <w:r w:rsidR="005D0BCD" w:rsidRPr="005D0BCD">
        <w:rPr>
          <w:sz w:val="24"/>
          <w:szCs w:val="24"/>
        </w:rPr>
        <w:t>Evropské agentury pro pohraniční a pobřežní stráž</w:t>
      </w:r>
      <w:r w:rsidR="005D0BCD">
        <w:rPr>
          <w:sz w:val="24"/>
          <w:szCs w:val="24"/>
        </w:rPr>
        <w:t xml:space="preserve"> – </w:t>
      </w:r>
      <w:proofErr w:type="spellStart"/>
      <w:r w:rsidRPr="006A189D">
        <w:rPr>
          <w:sz w:val="24"/>
          <w:szCs w:val="24"/>
        </w:rPr>
        <w:t>Frontex</w:t>
      </w:r>
      <w:r w:rsidR="00A9546A">
        <w:rPr>
          <w:sz w:val="24"/>
          <w:szCs w:val="24"/>
        </w:rPr>
        <w:t>u</w:t>
      </w:r>
      <w:proofErr w:type="spellEnd"/>
      <w:r w:rsidR="005D0BCD">
        <w:rPr>
          <w:sz w:val="24"/>
          <w:szCs w:val="24"/>
        </w:rPr>
        <w:t>.</w:t>
      </w:r>
    </w:p>
    <w:p w:rsidR="000A2DB4" w:rsidRPr="006A189D" w:rsidRDefault="007D5353">
      <w:pPr>
        <w:spacing w:after="80"/>
        <w:jc w:val="both"/>
      </w:pPr>
      <w:r w:rsidRPr="006A189D">
        <w:rPr>
          <w:sz w:val="24"/>
          <w:szCs w:val="24"/>
        </w:rPr>
        <w:t>Zvláštní</w:t>
      </w:r>
      <w:r w:rsidR="00A9546A">
        <w:rPr>
          <w:sz w:val="24"/>
          <w:szCs w:val="24"/>
        </w:rPr>
        <w:t>mi</w:t>
      </w:r>
      <w:r w:rsidRPr="006A189D">
        <w:rPr>
          <w:sz w:val="24"/>
          <w:szCs w:val="24"/>
        </w:rPr>
        <w:t xml:space="preserve"> host</w:t>
      </w:r>
      <w:r w:rsidR="00A9546A">
        <w:rPr>
          <w:sz w:val="24"/>
          <w:szCs w:val="24"/>
        </w:rPr>
        <w:t>y</w:t>
      </w:r>
      <w:r w:rsidRPr="006A189D">
        <w:rPr>
          <w:sz w:val="24"/>
          <w:szCs w:val="24"/>
        </w:rPr>
        <w:t xml:space="preserve"> </w:t>
      </w:r>
      <w:r w:rsidR="00A9546A">
        <w:rPr>
          <w:sz w:val="24"/>
          <w:szCs w:val="24"/>
        </w:rPr>
        <w:t>k</w:t>
      </w:r>
      <w:r w:rsidRPr="006A189D">
        <w:rPr>
          <w:sz w:val="24"/>
          <w:szCs w:val="24"/>
        </w:rPr>
        <w:t>onference byly delegace ministrů Maltské republiky</w:t>
      </w:r>
      <w:r w:rsidR="00232214">
        <w:rPr>
          <w:sz w:val="24"/>
          <w:szCs w:val="24"/>
        </w:rPr>
        <w:t>,</w:t>
      </w:r>
      <w:r w:rsidR="00A9546A">
        <w:rPr>
          <w:sz w:val="24"/>
          <w:szCs w:val="24"/>
        </w:rPr>
        <w:t xml:space="preserve"> jako </w:t>
      </w:r>
      <w:r w:rsidRPr="006A189D">
        <w:rPr>
          <w:sz w:val="24"/>
          <w:szCs w:val="24"/>
        </w:rPr>
        <w:t>nadcházející</w:t>
      </w:r>
      <w:r w:rsidR="00A9546A">
        <w:rPr>
          <w:sz w:val="24"/>
          <w:szCs w:val="24"/>
        </w:rPr>
        <w:t>ho</w:t>
      </w:r>
      <w:r w:rsidRPr="006A189D">
        <w:rPr>
          <w:sz w:val="24"/>
          <w:szCs w:val="24"/>
        </w:rPr>
        <w:t xml:space="preserve"> předsednictví Rady Evropské </w:t>
      </w:r>
      <w:r w:rsidR="00566616">
        <w:rPr>
          <w:sz w:val="24"/>
          <w:szCs w:val="24"/>
        </w:rPr>
        <w:t>u</w:t>
      </w:r>
      <w:r w:rsidRPr="006A189D">
        <w:rPr>
          <w:sz w:val="24"/>
          <w:szCs w:val="24"/>
        </w:rPr>
        <w:t>nie</w:t>
      </w:r>
      <w:r w:rsidR="00232214">
        <w:rPr>
          <w:sz w:val="24"/>
          <w:szCs w:val="24"/>
        </w:rPr>
        <w:t>,</w:t>
      </w:r>
      <w:r w:rsidRPr="006A189D">
        <w:rPr>
          <w:sz w:val="24"/>
          <w:szCs w:val="24"/>
        </w:rPr>
        <w:t xml:space="preserve"> a Kosova.</w:t>
      </w:r>
      <w:r w:rsidRPr="006A189D">
        <w:rPr>
          <w:rStyle w:val="FootnoteAnchor"/>
          <w:sz w:val="24"/>
          <w:szCs w:val="24"/>
        </w:rPr>
        <w:footnoteReference w:id="1"/>
      </w:r>
      <w:r w:rsidRPr="006A189D">
        <w:rPr>
          <w:sz w:val="24"/>
          <w:szCs w:val="24"/>
        </w:rPr>
        <w:t xml:space="preserve"> </w:t>
      </w:r>
    </w:p>
    <w:p w:rsidR="000A2DB4" w:rsidRPr="006A189D" w:rsidRDefault="007D5353">
      <w:pPr>
        <w:spacing w:after="80"/>
        <w:jc w:val="both"/>
        <w:rPr>
          <w:sz w:val="24"/>
          <w:szCs w:val="24"/>
        </w:rPr>
      </w:pPr>
      <w:r w:rsidRPr="006A189D">
        <w:rPr>
          <w:sz w:val="24"/>
          <w:szCs w:val="24"/>
        </w:rPr>
        <w:t>Hlavním cílem konference byla výměna názorů o klíčových otázkách v oblasti migrace, vnitřní bezpečnosti a policejní spoluprác</w:t>
      </w:r>
      <w:r w:rsidR="00A9546A">
        <w:rPr>
          <w:sz w:val="24"/>
          <w:szCs w:val="24"/>
        </w:rPr>
        <w:t>e</w:t>
      </w:r>
      <w:r w:rsidRPr="006A189D">
        <w:rPr>
          <w:sz w:val="24"/>
          <w:szCs w:val="24"/>
        </w:rPr>
        <w:t xml:space="preserve"> a </w:t>
      </w:r>
      <w:r w:rsidR="00A9546A">
        <w:rPr>
          <w:sz w:val="24"/>
          <w:szCs w:val="24"/>
        </w:rPr>
        <w:t>identifikace</w:t>
      </w:r>
      <w:r w:rsidRPr="006A189D">
        <w:rPr>
          <w:sz w:val="24"/>
          <w:szCs w:val="24"/>
        </w:rPr>
        <w:t xml:space="preserve"> společných postojů v příslušných strategických témat</w:t>
      </w:r>
      <w:r w:rsidR="00A9546A">
        <w:rPr>
          <w:sz w:val="24"/>
          <w:szCs w:val="24"/>
        </w:rPr>
        <w:t>ech,</w:t>
      </w:r>
      <w:r w:rsidRPr="006A189D">
        <w:rPr>
          <w:sz w:val="24"/>
          <w:szCs w:val="24"/>
        </w:rPr>
        <w:t xml:space="preserve"> a také posou</w:t>
      </w:r>
      <w:r w:rsidR="00A9546A">
        <w:rPr>
          <w:sz w:val="24"/>
          <w:szCs w:val="24"/>
        </w:rPr>
        <w:t>zení</w:t>
      </w:r>
      <w:r w:rsidRPr="006A189D">
        <w:rPr>
          <w:sz w:val="24"/>
          <w:szCs w:val="24"/>
        </w:rPr>
        <w:t xml:space="preserve"> probíhající regionální spolupráce a </w:t>
      </w:r>
      <w:r w:rsidR="00A9546A">
        <w:rPr>
          <w:sz w:val="24"/>
          <w:szCs w:val="24"/>
        </w:rPr>
        <w:t>na</w:t>
      </w:r>
      <w:r w:rsidRPr="006A189D">
        <w:rPr>
          <w:sz w:val="24"/>
          <w:szCs w:val="24"/>
        </w:rPr>
        <w:t>plánování příštích kroků.</w:t>
      </w:r>
    </w:p>
    <w:p w:rsidR="000A2DB4" w:rsidRPr="006A189D" w:rsidRDefault="000A2DB4">
      <w:pPr>
        <w:spacing w:after="80"/>
        <w:jc w:val="both"/>
        <w:rPr>
          <w:sz w:val="24"/>
          <w:szCs w:val="24"/>
        </w:rPr>
      </w:pPr>
    </w:p>
    <w:p w:rsidR="000A2DB4" w:rsidRPr="006A189D" w:rsidRDefault="005D0BCD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Ministři se s</w:t>
      </w:r>
      <w:r w:rsidR="007D5353" w:rsidRPr="006A189D">
        <w:rPr>
          <w:sz w:val="24"/>
          <w:szCs w:val="24"/>
        </w:rPr>
        <w:t xml:space="preserve">hodli na následujícím s ohledem na hlavní </w:t>
      </w:r>
      <w:r w:rsidR="00A9546A">
        <w:rPr>
          <w:sz w:val="24"/>
          <w:szCs w:val="24"/>
        </w:rPr>
        <w:t xml:space="preserve">diskusní </w:t>
      </w:r>
      <w:r w:rsidR="007D5353" w:rsidRPr="006A189D">
        <w:rPr>
          <w:sz w:val="24"/>
          <w:szCs w:val="24"/>
        </w:rPr>
        <w:t>témata:</w:t>
      </w:r>
    </w:p>
    <w:p w:rsidR="000A2DB4" w:rsidRPr="006A189D" w:rsidRDefault="000A2DB4">
      <w:pPr>
        <w:spacing w:after="80"/>
        <w:jc w:val="both"/>
        <w:rPr>
          <w:sz w:val="24"/>
          <w:szCs w:val="24"/>
        </w:rPr>
      </w:pPr>
    </w:p>
    <w:p w:rsidR="000A2DB4" w:rsidRPr="006A189D" w:rsidRDefault="007D5353">
      <w:pPr>
        <w:spacing w:after="80"/>
        <w:jc w:val="center"/>
        <w:rPr>
          <w:b/>
          <w:sz w:val="24"/>
          <w:szCs w:val="24"/>
        </w:rPr>
      </w:pPr>
      <w:r w:rsidRPr="006A189D">
        <w:rPr>
          <w:b/>
          <w:sz w:val="24"/>
          <w:szCs w:val="24"/>
        </w:rPr>
        <w:t>Migrace – výměna názorů a </w:t>
      </w:r>
      <w:r w:rsidR="00A9546A">
        <w:rPr>
          <w:b/>
          <w:sz w:val="24"/>
          <w:szCs w:val="24"/>
        </w:rPr>
        <w:t>aktuální</w:t>
      </w:r>
      <w:r w:rsidRPr="006A189D">
        <w:rPr>
          <w:b/>
          <w:sz w:val="24"/>
          <w:szCs w:val="24"/>
        </w:rPr>
        <w:t xml:space="preserve"> vývoj</w:t>
      </w:r>
    </w:p>
    <w:p w:rsidR="000A2DB4" w:rsidRPr="006A189D" w:rsidRDefault="007D5353">
      <w:pPr>
        <w:spacing w:after="80"/>
        <w:jc w:val="both"/>
      </w:pPr>
      <w:r w:rsidRPr="006A189D">
        <w:rPr>
          <w:sz w:val="24"/>
          <w:szCs w:val="24"/>
        </w:rPr>
        <w:t>Ministři jednali o současné s</w:t>
      </w:r>
      <w:r w:rsidR="00E8132A">
        <w:rPr>
          <w:sz w:val="24"/>
          <w:szCs w:val="24"/>
        </w:rPr>
        <w:t>ituaci na </w:t>
      </w:r>
      <w:proofErr w:type="spellStart"/>
      <w:r w:rsidR="00E8132A">
        <w:rPr>
          <w:sz w:val="24"/>
          <w:szCs w:val="24"/>
        </w:rPr>
        <w:t>západobalkánské</w:t>
      </w:r>
      <w:proofErr w:type="spellEnd"/>
      <w:r w:rsidR="00E8132A">
        <w:rPr>
          <w:sz w:val="24"/>
          <w:szCs w:val="24"/>
        </w:rPr>
        <w:t xml:space="preserve"> trase a</w:t>
      </w:r>
      <w:r w:rsidRPr="006A189D">
        <w:rPr>
          <w:sz w:val="24"/>
          <w:szCs w:val="24"/>
        </w:rPr>
        <w:t xml:space="preserve"> proběhla výměna názorů o </w:t>
      </w:r>
      <w:r w:rsidR="00E8132A">
        <w:rPr>
          <w:sz w:val="24"/>
          <w:szCs w:val="24"/>
        </w:rPr>
        <w:t>implementaci</w:t>
      </w:r>
      <w:r w:rsidRPr="006A189D">
        <w:rPr>
          <w:sz w:val="24"/>
          <w:szCs w:val="24"/>
        </w:rPr>
        <w:t xml:space="preserve"> </w:t>
      </w:r>
      <w:r w:rsidR="00232214">
        <w:rPr>
          <w:sz w:val="24"/>
          <w:szCs w:val="24"/>
        </w:rPr>
        <w:t>d</w:t>
      </w:r>
      <w:r w:rsidR="00E8132A">
        <w:rPr>
          <w:sz w:val="24"/>
          <w:szCs w:val="24"/>
        </w:rPr>
        <w:t>ohody</w:t>
      </w:r>
      <w:r w:rsidRPr="006A189D">
        <w:rPr>
          <w:sz w:val="24"/>
          <w:szCs w:val="24"/>
        </w:rPr>
        <w:t xml:space="preserve"> EU</w:t>
      </w:r>
      <w:r w:rsidR="00232214">
        <w:rPr>
          <w:sz w:val="24"/>
          <w:szCs w:val="24"/>
        </w:rPr>
        <w:t>–</w:t>
      </w:r>
      <w:r w:rsidRPr="006A189D">
        <w:rPr>
          <w:sz w:val="24"/>
          <w:szCs w:val="24"/>
        </w:rPr>
        <w:t>Tureck</w:t>
      </w:r>
      <w:r w:rsidR="00E8132A">
        <w:rPr>
          <w:sz w:val="24"/>
          <w:szCs w:val="24"/>
        </w:rPr>
        <w:t>o</w:t>
      </w:r>
      <w:r w:rsidRPr="006A189D">
        <w:rPr>
          <w:sz w:val="24"/>
          <w:szCs w:val="24"/>
        </w:rPr>
        <w:t>. Uvítali pokrok, jehož bylo dosaženo, pokud jde o zastavení přílivu nelegálních migrantů do Evropské unie, nicméně také identifikoval</w:t>
      </w:r>
      <w:r w:rsidR="00E8132A">
        <w:rPr>
          <w:sz w:val="24"/>
          <w:szCs w:val="24"/>
        </w:rPr>
        <w:t>i</w:t>
      </w:r>
      <w:r w:rsidRPr="006A189D">
        <w:rPr>
          <w:sz w:val="24"/>
          <w:szCs w:val="24"/>
        </w:rPr>
        <w:t xml:space="preserve"> několik </w:t>
      </w:r>
      <w:r w:rsidR="00E8132A">
        <w:rPr>
          <w:sz w:val="24"/>
          <w:szCs w:val="24"/>
        </w:rPr>
        <w:t>problematických míst</w:t>
      </w:r>
      <w:r w:rsidRPr="006A189D">
        <w:rPr>
          <w:sz w:val="24"/>
          <w:szCs w:val="24"/>
        </w:rPr>
        <w:t xml:space="preserve"> </w:t>
      </w:r>
      <w:r w:rsidR="00E8132A">
        <w:rPr>
          <w:sz w:val="24"/>
          <w:szCs w:val="24"/>
        </w:rPr>
        <w:t>ohrožujících</w:t>
      </w:r>
      <w:r w:rsidRPr="006A189D">
        <w:rPr>
          <w:sz w:val="24"/>
          <w:szCs w:val="24"/>
        </w:rPr>
        <w:t xml:space="preserve"> cel</w:t>
      </w:r>
      <w:r w:rsidR="00E8132A">
        <w:rPr>
          <w:sz w:val="24"/>
          <w:szCs w:val="24"/>
        </w:rPr>
        <w:t>ý</w:t>
      </w:r>
      <w:r w:rsidRPr="006A189D">
        <w:rPr>
          <w:sz w:val="24"/>
          <w:szCs w:val="24"/>
        </w:rPr>
        <w:t xml:space="preserve"> systém. Za tímto účelem se obě strany </w:t>
      </w:r>
      <w:r w:rsidR="00B14F71">
        <w:rPr>
          <w:sz w:val="24"/>
          <w:szCs w:val="24"/>
        </w:rPr>
        <w:t>s</w:t>
      </w:r>
      <w:r w:rsidRPr="006A189D">
        <w:rPr>
          <w:sz w:val="24"/>
          <w:szCs w:val="24"/>
        </w:rPr>
        <w:t xml:space="preserve">hodly, </w:t>
      </w:r>
      <w:r w:rsidR="00B14F71">
        <w:rPr>
          <w:sz w:val="24"/>
          <w:szCs w:val="24"/>
        </w:rPr>
        <w:t xml:space="preserve">že </w:t>
      </w:r>
      <w:r w:rsidR="00F90FEC">
        <w:rPr>
          <w:sz w:val="24"/>
          <w:szCs w:val="24"/>
        </w:rPr>
        <w:t xml:space="preserve">hlavními cíli musí zůstat: </w:t>
      </w:r>
      <w:r w:rsidRPr="006A189D">
        <w:rPr>
          <w:sz w:val="24"/>
          <w:szCs w:val="24"/>
        </w:rPr>
        <w:t xml:space="preserve">nalezení společných udržitelných řešení, která jsou schopna posílit řízení migrace a kontrolu vnějších hranic EU a posílit odolnost Evropské unie, </w:t>
      </w:r>
      <w:r w:rsidR="00B14F71">
        <w:rPr>
          <w:sz w:val="24"/>
          <w:szCs w:val="24"/>
        </w:rPr>
        <w:t>stejně</w:t>
      </w:r>
      <w:r w:rsidR="00F90FEC">
        <w:rPr>
          <w:sz w:val="24"/>
          <w:szCs w:val="24"/>
        </w:rPr>
        <w:t xml:space="preserve"> jako </w:t>
      </w:r>
      <w:r w:rsidRPr="006A189D">
        <w:rPr>
          <w:sz w:val="24"/>
          <w:szCs w:val="24"/>
        </w:rPr>
        <w:t>plné prov</w:t>
      </w:r>
      <w:r w:rsidR="00F90FEC">
        <w:rPr>
          <w:sz w:val="24"/>
          <w:szCs w:val="24"/>
        </w:rPr>
        <w:t>á</w:t>
      </w:r>
      <w:r w:rsidRPr="006A189D">
        <w:rPr>
          <w:sz w:val="24"/>
          <w:szCs w:val="24"/>
        </w:rPr>
        <w:t>d</w:t>
      </w:r>
      <w:r w:rsidR="00F90FEC">
        <w:rPr>
          <w:sz w:val="24"/>
          <w:szCs w:val="24"/>
        </w:rPr>
        <w:t>ě</w:t>
      </w:r>
      <w:r w:rsidRPr="006A189D">
        <w:rPr>
          <w:sz w:val="24"/>
          <w:szCs w:val="24"/>
        </w:rPr>
        <w:t xml:space="preserve">ní </w:t>
      </w:r>
      <w:r w:rsidR="00232214">
        <w:rPr>
          <w:sz w:val="24"/>
          <w:szCs w:val="24"/>
        </w:rPr>
        <w:t>d</w:t>
      </w:r>
      <w:r w:rsidR="00F90FEC">
        <w:rPr>
          <w:sz w:val="24"/>
          <w:szCs w:val="24"/>
        </w:rPr>
        <w:t>ohody</w:t>
      </w:r>
      <w:r w:rsidRPr="006A189D">
        <w:rPr>
          <w:sz w:val="24"/>
          <w:szCs w:val="24"/>
        </w:rPr>
        <w:t xml:space="preserve"> EU</w:t>
      </w:r>
      <w:r w:rsidR="00DD625A">
        <w:rPr>
          <w:sz w:val="24"/>
          <w:szCs w:val="24"/>
        </w:rPr>
        <w:t>–</w:t>
      </w:r>
      <w:r w:rsidR="00F90FEC">
        <w:rPr>
          <w:sz w:val="24"/>
          <w:szCs w:val="24"/>
        </w:rPr>
        <w:t>Turecko</w:t>
      </w:r>
      <w:r w:rsidRPr="006A189D">
        <w:rPr>
          <w:sz w:val="24"/>
          <w:szCs w:val="24"/>
        </w:rPr>
        <w:t xml:space="preserve">. Ministři </w:t>
      </w:r>
      <w:r w:rsidR="00F90FEC">
        <w:rPr>
          <w:sz w:val="24"/>
          <w:szCs w:val="24"/>
        </w:rPr>
        <w:t>uznali</w:t>
      </w:r>
      <w:r w:rsidRPr="006A189D">
        <w:rPr>
          <w:sz w:val="24"/>
          <w:szCs w:val="24"/>
        </w:rPr>
        <w:t xml:space="preserve"> úsilí členských států </w:t>
      </w:r>
      <w:r w:rsidR="00F90FEC">
        <w:rPr>
          <w:sz w:val="24"/>
          <w:szCs w:val="24"/>
        </w:rPr>
        <w:t>S</w:t>
      </w:r>
      <w:r w:rsidRPr="006A189D">
        <w:rPr>
          <w:sz w:val="24"/>
          <w:szCs w:val="24"/>
        </w:rPr>
        <w:t xml:space="preserve">alcburského fóra </w:t>
      </w:r>
      <w:r w:rsidR="00F90FEC">
        <w:rPr>
          <w:sz w:val="24"/>
          <w:szCs w:val="24"/>
        </w:rPr>
        <w:t xml:space="preserve">s </w:t>
      </w:r>
      <w:r w:rsidRPr="006A189D">
        <w:rPr>
          <w:sz w:val="24"/>
          <w:szCs w:val="24"/>
        </w:rPr>
        <w:t>vnější hranic</w:t>
      </w:r>
      <w:r w:rsidR="00F90FEC">
        <w:rPr>
          <w:sz w:val="24"/>
          <w:szCs w:val="24"/>
        </w:rPr>
        <w:t>í</w:t>
      </w:r>
      <w:r w:rsidRPr="006A189D">
        <w:rPr>
          <w:sz w:val="24"/>
          <w:szCs w:val="24"/>
        </w:rPr>
        <w:t xml:space="preserve"> EU</w:t>
      </w:r>
      <w:r w:rsidR="00F90FEC">
        <w:rPr>
          <w:sz w:val="24"/>
          <w:szCs w:val="24"/>
        </w:rPr>
        <w:t xml:space="preserve"> a</w:t>
      </w:r>
      <w:r w:rsidRPr="006A189D">
        <w:rPr>
          <w:sz w:val="24"/>
          <w:szCs w:val="24"/>
        </w:rPr>
        <w:t xml:space="preserve"> podporu, kterou jim ostatní členské státy </w:t>
      </w:r>
      <w:r w:rsidR="00F90FEC">
        <w:rPr>
          <w:sz w:val="24"/>
          <w:szCs w:val="24"/>
        </w:rPr>
        <w:t>S</w:t>
      </w:r>
      <w:r w:rsidRPr="006A189D">
        <w:rPr>
          <w:sz w:val="24"/>
          <w:szCs w:val="24"/>
        </w:rPr>
        <w:t>alcburského fóra</w:t>
      </w:r>
      <w:r w:rsidR="00F90FEC">
        <w:rPr>
          <w:sz w:val="24"/>
          <w:szCs w:val="24"/>
        </w:rPr>
        <w:t xml:space="preserve"> poskytují</w:t>
      </w:r>
      <w:r w:rsidRPr="006A189D">
        <w:rPr>
          <w:sz w:val="24"/>
          <w:szCs w:val="24"/>
        </w:rPr>
        <w:t>. Kromě toho</w:t>
      </w:r>
      <w:r w:rsidR="00F90FEC">
        <w:rPr>
          <w:sz w:val="24"/>
          <w:szCs w:val="24"/>
        </w:rPr>
        <w:t>,</w:t>
      </w:r>
      <w:r w:rsidRPr="006A189D">
        <w:rPr>
          <w:sz w:val="24"/>
          <w:szCs w:val="24"/>
        </w:rPr>
        <w:t xml:space="preserve"> </w:t>
      </w:r>
      <w:r w:rsidR="00F90FEC">
        <w:rPr>
          <w:sz w:val="24"/>
          <w:szCs w:val="24"/>
        </w:rPr>
        <w:t xml:space="preserve">v návaznosti na Bratislavský </w:t>
      </w:r>
      <w:r w:rsidRPr="006A189D">
        <w:rPr>
          <w:sz w:val="24"/>
          <w:szCs w:val="24"/>
        </w:rPr>
        <w:t>plán ze dne 16. září 2016</w:t>
      </w:r>
      <w:r w:rsidR="00232214">
        <w:rPr>
          <w:sz w:val="24"/>
          <w:szCs w:val="24"/>
        </w:rPr>
        <w:t xml:space="preserve"> a závěry Evropské rady z 20.–</w:t>
      </w:r>
      <w:r w:rsidR="00074EC1">
        <w:rPr>
          <w:sz w:val="24"/>
          <w:szCs w:val="24"/>
        </w:rPr>
        <w:t>21. října 2016</w:t>
      </w:r>
      <w:r w:rsidRPr="006A189D">
        <w:rPr>
          <w:sz w:val="24"/>
          <w:szCs w:val="24"/>
        </w:rPr>
        <w:t xml:space="preserve">, zdůraznili, </w:t>
      </w:r>
      <w:r w:rsidR="00F90FEC">
        <w:rPr>
          <w:sz w:val="24"/>
          <w:szCs w:val="24"/>
        </w:rPr>
        <w:t xml:space="preserve">že </w:t>
      </w:r>
      <w:r w:rsidRPr="006A189D">
        <w:rPr>
          <w:sz w:val="24"/>
          <w:szCs w:val="24"/>
        </w:rPr>
        <w:t>okamžit</w:t>
      </w:r>
      <w:r w:rsidR="00F90FEC">
        <w:rPr>
          <w:sz w:val="24"/>
          <w:szCs w:val="24"/>
        </w:rPr>
        <w:t>á</w:t>
      </w:r>
      <w:r w:rsidRPr="006A189D">
        <w:rPr>
          <w:sz w:val="24"/>
          <w:szCs w:val="24"/>
        </w:rPr>
        <w:t xml:space="preserve"> pomoc nejvíce postižen</w:t>
      </w:r>
      <w:r w:rsidR="00F90FEC">
        <w:rPr>
          <w:sz w:val="24"/>
          <w:szCs w:val="24"/>
        </w:rPr>
        <w:t>ým</w:t>
      </w:r>
      <w:r w:rsidRPr="006A189D">
        <w:rPr>
          <w:sz w:val="24"/>
          <w:szCs w:val="24"/>
        </w:rPr>
        <w:t xml:space="preserve"> stát</w:t>
      </w:r>
      <w:r w:rsidR="00F90FEC">
        <w:rPr>
          <w:sz w:val="24"/>
          <w:szCs w:val="24"/>
        </w:rPr>
        <w:t>ům</w:t>
      </w:r>
      <w:r w:rsidR="003614F9">
        <w:rPr>
          <w:sz w:val="24"/>
          <w:szCs w:val="24"/>
        </w:rPr>
        <w:t xml:space="preserve"> je zásadní</w:t>
      </w:r>
      <w:r w:rsidR="00DD625A">
        <w:rPr>
          <w:sz w:val="24"/>
          <w:szCs w:val="24"/>
        </w:rPr>
        <w:t>,</w:t>
      </w:r>
      <w:r w:rsidR="003614F9">
        <w:rPr>
          <w:sz w:val="24"/>
          <w:szCs w:val="24"/>
        </w:rPr>
        <w:t xml:space="preserve"> </w:t>
      </w:r>
      <w:r w:rsidR="003614F9">
        <w:rPr>
          <w:sz w:val="24"/>
          <w:szCs w:val="24"/>
        </w:rPr>
        <w:lastRenderedPageBreak/>
        <w:t>a potvrdili</w:t>
      </w:r>
      <w:r w:rsidRPr="006A189D">
        <w:rPr>
          <w:sz w:val="24"/>
          <w:szCs w:val="24"/>
        </w:rPr>
        <w:t xml:space="preserve"> sv</w:t>
      </w:r>
      <w:r w:rsidR="003614F9">
        <w:rPr>
          <w:sz w:val="24"/>
          <w:szCs w:val="24"/>
        </w:rPr>
        <w:t>é</w:t>
      </w:r>
      <w:r w:rsidRPr="006A189D">
        <w:rPr>
          <w:sz w:val="24"/>
          <w:szCs w:val="24"/>
        </w:rPr>
        <w:t xml:space="preserve"> závazk</w:t>
      </w:r>
      <w:r w:rsidR="003614F9">
        <w:rPr>
          <w:sz w:val="24"/>
          <w:szCs w:val="24"/>
        </w:rPr>
        <w:t>y</w:t>
      </w:r>
      <w:r w:rsidRPr="006A189D">
        <w:rPr>
          <w:sz w:val="24"/>
          <w:szCs w:val="24"/>
        </w:rPr>
        <w:t xml:space="preserve"> k podpoře zemí západního Balkánu a </w:t>
      </w:r>
      <w:r w:rsidR="005D0BCD">
        <w:rPr>
          <w:sz w:val="24"/>
          <w:szCs w:val="24"/>
        </w:rPr>
        <w:t xml:space="preserve">relevantních </w:t>
      </w:r>
      <w:r w:rsidRPr="006A189D">
        <w:rPr>
          <w:sz w:val="24"/>
          <w:szCs w:val="24"/>
        </w:rPr>
        <w:t>č</w:t>
      </w:r>
      <w:r w:rsidR="005D0BCD">
        <w:rPr>
          <w:sz w:val="24"/>
          <w:szCs w:val="24"/>
        </w:rPr>
        <w:t>lenských států EU</w:t>
      </w:r>
      <w:r w:rsidRPr="006A189D">
        <w:rPr>
          <w:sz w:val="24"/>
          <w:szCs w:val="24"/>
        </w:rPr>
        <w:t>. Bezprecedentní a nekontrolovan</w:t>
      </w:r>
      <w:r w:rsidR="003614F9">
        <w:rPr>
          <w:sz w:val="24"/>
          <w:szCs w:val="24"/>
        </w:rPr>
        <w:t>ý</w:t>
      </w:r>
      <w:r w:rsidR="00357CF5">
        <w:rPr>
          <w:sz w:val="24"/>
          <w:szCs w:val="24"/>
        </w:rPr>
        <w:t xml:space="preserve"> migrační tok podél východní středomořské – </w:t>
      </w:r>
      <w:proofErr w:type="spellStart"/>
      <w:r w:rsidR="00357CF5">
        <w:rPr>
          <w:sz w:val="24"/>
          <w:szCs w:val="24"/>
        </w:rPr>
        <w:t>západobalkánské</w:t>
      </w:r>
      <w:proofErr w:type="spellEnd"/>
      <w:r w:rsidR="00357CF5">
        <w:rPr>
          <w:sz w:val="24"/>
          <w:szCs w:val="24"/>
        </w:rPr>
        <w:t xml:space="preserve"> trasy</w:t>
      </w:r>
      <w:r w:rsidRPr="006A189D">
        <w:rPr>
          <w:sz w:val="24"/>
          <w:szCs w:val="24"/>
        </w:rPr>
        <w:t>, kter</w:t>
      </w:r>
      <w:r w:rsidR="003614F9">
        <w:rPr>
          <w:sz w:val="24"/>
          <w:szCs w:val="24"/>
        </w:rPr>
        <w:t>ému</w:t>
      </w:r>
      <w:r w:rsidRPr="006A189D">
        <w:rPr>
          <w:sz w:val="24"/>
          <w:szCs w:val="24"/>
        </w:rPr>
        <w:t xml:space="preserve"> Evropa </w:t>
      </w:r>
      <w:r w:rsidR="003614F9">
        <w:rPr>
          <w:sz w:val="24"/>
          <w:szCs w:val="24"/>
        </w:rPr>
        <w:t xml:space="preserve">čelila </w:t>
      </w:r>
      <w:r w:rsidRPr="006A189D">
        <w:rPr>
          <w:sz w:val="24"/>
          <w:szCs w:val="24"/>
        </w:rPr>
        <w:t xml:space="preserve">v posledních dvou letech, se </w:t>
      </w:r>
      <w:r w:rsidR="003614F9">
        <w:rPr>
          <w:sz w:val="24"/>
          <w:szCs w:val="24"/>
        </w:rPr>
        <w:t xml:space="preserve">v budoucnu nesmí </w:t>
      </w:r>
      <w:r w:rsidRPr="006A189D">
        <w:rPr>
          <w:sz w:val="24"/>
          <w:szCs w:val="24"/>
        </w:rPr>
        <w:t>opakovat.</w:t>
      </w:r>
    </w:p>
    <w:p w:rsidR="000A2DB4" w:rsidRPr="006A189D" w:rsidRDefault="000A2DB4">
      <w:pPr>
        <w:spacing w:after="80"/>
        <w:jc w:val="both"/>
        <w:rPr>
          <w:sz w:val="24"/>
          <w:szCs w:val="24"/>
        </w:rPr>
      </w:pPr>
    </w:p>
    <w:p w:rsidR="000A2DB4" w:rsidRPr="006A189D" w:rsidRDefault="00691E15">
      <w:pPr>
        <w:spacing w:after="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Sdílení informací jako</w:t>
      </w:r>
      <w:r w:rsidR="007D5353" w:rsidRPr="006A189D">
        <w:rPr>
          <w:b/>
          <w:sz w:val="24"/>
          <w:szCs w:val="24"/>
        </w:rPr>
        <w:t xml:space="preserve"> klíčov</w:t>
      </w:r>
      <w:r w:rsidR="003614F9">
        <w:rPr>
          <w:b/>
          <w:sz w:val="24"/>
          <w:szCs w:val="24"/>
        </w:rPr>
        <w:t>á</w:t>
      </w:r>
      <w:r>
        <w:rPr>
          <w:b/>
          <w:sz w:val="24"/>
          <w:szCs w:val="24"/>
        </w:rPr>
        <w:t xml:space="preserve"> součást</w:t>
      </w:r>
      <w:r w:rsidR="00907A88">
        <w:rPr>
          <w:b/>
          <w:sz w:val="24"/>
          <w:szCs w:val="24"/>
        </w:rPr>
        <w:t xml:space="preserve"> boje proti terorismu</w:t>
      </w:r>
    </w:p>
    <w:p w:rsidR="000A2DB4" w:rsidRPr="006A189D" w:rsidRDefault="007D5353">
      <w:pPr>
        <w:spacing w:after="80"/>
        <w:jc w:val="both"/>
      </w:pPr>
      <w:r w:rsidRPr="006A189D">
        <w:rPr>
          <w:sz w:val="24"/>
          <w:szCs w:val="24"/>
        </w:rPr>
        <w:t xml:space="preserve">Ministři zopakovali důležitost účinné politiky boje proti terorismu. Zdůraznili, </w:t>
      </w:r>
      <w:r w:rsidR="003614F9">
        <w:rPr>
          <w:sz w:val="24"/>
          <w:szCs w:val="24"/>
        </w:rPr>
        <w:t>že k</w:t>
      </w:r>
      <w:r w:rsidRPr="006A189D">
        <w:rPr>
          <w:sz w:val="24"/>
          <w:szCs w:val="24"/>
        </w:rPr>
        <w:t xml:space="preserve"> zaji</w:t>
      </w:r>
      <w:r w:rsidR="003614F9">
        <w:rPr>
          <w:sz w:val="24"/>
          <w:szCs w:val="24"/>
        </w:rPr>
        <w:t>štění</w:t>
      </w:r>
      <w:r w:rsidRPr="006A189D">
        <w:rPr>
          <w:sz w:val="24"/>
          <w:szCs w:val="24"/>
        </w:rPr>
        <w:t xml:space="preserve"> účinn</w:t>
      </w:r>
      <w:r w:rsidR="003614F9">
        <w:rPr>
          <w:sz w:val="24"/>
          <w:szCs w:val="24"/>
        </w:rPr>
        <w:t>é</w:t>
      </w:r>
      <w:r w:rsidRPr="006A189D">
        <w:rPr>
          <w:sz w:val="24"/>
          <w:szCs w:val="24"/>
        </w:rPr>
        <w:t xml:space="preserve"> reakc</w:t>
      </w:r>
      <w:r w:rsidR="003614F9">
        <w:rPr>
          <w:sz w:val="24"/>
          <w:szCs w:val="24"/>
        </w:rPr>
        <w:t>e</w:t>
      </w:r>
      <w:r w:rsidRPr="006A189D">
        <w:rPr>
          <w:sz w:val="24"/>
          <w:szCs w:val="24"/>
        </w:rPr>
        <w:t xml:space="preserve"> na terorismus a s</w:t>
      </w:r>
      <w:r w:rsidR="003614F9">
        <w:rPr>
          <w:sz w:val="24"/>
          <w:szCs w:val="24"/>
        </w:rPr>
        <w:t>oučasné</w:t>
      </w:r>
      <w:r w:rsidRPr="006A189D">
        <w:rPr>
          <w:sz w:val="24"/>
          <w:szCs w:val="24"/>
        </w:rPr>
        <w:t xml:space="preserve"> bezpečnostní hrozb</w:t>
      </w:r>
      <w:r w:rsidR="00DD625A">
        <w:rPr>
          <w:sz w:val="24"/>
          <w:szCs w:val="24"/>
        </w:rPr>
        <w:t>y</w:t>
      </w:r>
      <w:r w:rsidRPr="006A189D">
        <w:rPr>
          <w:sz w:val="24"/>
          <w:szCs w:val="24"/>
        </w:rPr>
        <w:t xml:space="preserve"> je nutné sdílet relevantní informace včas a podporova</w:t>
      </w:r>
      <w:r w:rsidR="003614F9">
        <w:rPr>
          <w:sz w:val="24"/>
          <w:szCs w:val="24"/>
        </w:rPr>
        <w:t>t</w:t>
      </w:r>
      <w:r w:rsidRPr="006A189D">
        <w:rPr>
          <w:sz w:val="24"/>
          <w:szCs w:val="24"/>
        </w:rPr>
        <w:t xml:space="preserve"> všechny </w:t>
      </w:r>
      <w:r w:rsidR="003614F9">
        <w:rPr>
          <w:sz w:val="24"/>
          <w:szCs w:val="24"/>
        </w:rPr>
        <w:t>zainteresované</w:t>
      </w:r>
      <w:r w:rsidRPr="006A189D">
        <w:rPr>
          <w:sz w:val="24"/>
          <w:szCs w:val="24"/>
        </w:rPr>
        <w:t xml:space="preserve"> aktéry</w:t>
      </w:r>
      <w:r w:rsidR="003614F9">
        <w:rPr>
          <w:sz w:val="24"/>
          <w:szCs w:val="24"/>
        </w:rPr>
        <w:t>, aby tak činili</w:t>
      </w:r>
      <w:r w:rsidR="00907A88">
        <w:rPr>
          <w:sz w:val="24"/>
          <w:szCs w:val="24"/>
        </w:rPr>
        <w:t>, a současně implementovat balíček</w:t>
      </w:r>
      <w:r w:rsidR="00074EC1">
        <w:rPr>
          <w:sz w:val="24"/>
          <w:szCs w:val="24"/>
        </w:rPr>
        <w:t xml:space="preserve"> k inteligentním hranicím ve všech členských státech</w:t>
      </w:r>
      <w:r w:rsidR="003614F9">
        <w:rPr>
          <w:sz w:val="24"/>
          <w:szCs w:val="24"/>
        </w:rPr>
        <w:t>. Ministři po</w:t>
      </w:r>
      <w:r w:rsidRPr="006A189D">
        <w:rPr>
          <w:sz w:val="24"/>
          <w:szCs w:val="24"/>
        </w:rPr>
        <w:t>v</w:t>
      </w:r>
      <w:r w:rsidR="003614F9">
        <w:rPr>
          <w:sz w:val="24"/>
          <w:szCs w:val="24"/>
        </w:rPr>
        <w:t>a</w:t>
      </w:r>
      <w:r w:rsidRPr="006A189D">
        <w:rPr>
          <w:sz w:val="24"/>
          <w:szCs w:val="24"/>
        </w:rPr>
        <w:t>ž</w:t>
      </w:r>
      <w:r w:rsidR="003614F9">
        <w:rPr>
          <w:sz w:val="24"/>
          <w:szCs w:val="24"/>
        </w:rPr>
        <w:t>ují</w:t>
      </w:r>
      <w:r w:rsidRPr="006A189D">
        <w:rPr>
          <w:sz w:val="24"/>
          <w:szCs w:val="24"/>
        </w:rPr>
        <w:t xml:space="preserve"> strukturu existující výměny </w:t>
      </w:r>
      <w:r w:rsidR="003614F9" w:rsidRPr="006A189D">
        <w:rPr>
          <w:sz w:val="24"/>
          <w:szCs w:val="24"/>
        </w:rPr>
        <w:t>informa</w:t>
      </w:r>
      <w:r w:rsidR="003614F9">
        <w:rPr>
          <w:sz w:val="24"/>
          <w:szCs w:val="24"/>
        </w:rPr>
        <w:t>c</w:t>
      </w:r>
      <w:r w:rsidR="003614F9" w:rsidRPr="006A189D">
        <w:rPr>
          <w:sz w:val="24"/>
          <w:szCs w:val="24"/>
        </w:rPr>
        <w:t xml:space="preserve">í </w:t>
      </w:r>
      <w:r w:rsidRPr="006A189D">
        <w:rPr>
          <w:sz w:val="24"/>
          <w:szCs w:val="24"/>
        </w:rPr>
        <w:t xml:space="preserve">v této oblasti </w:t>
      </w:r>
      <w:r w:rsidR="00DD625A">
        <w:rPr>
          <w:sz w:val="24"/>
          <w:szCs w:val="24"/>
        </w:rPr>
        <w:t>za</w:t>
      </w:r>
      <w:r w:rsidRPr="006A189D">
        <w:rPr>
          <w:sz w:val="24"/>
          <w:szCs w:val="24"/>
        </w:rPr>
        <w:t xml:space="preserve"> dobrý základ pro spolupráci.</w:t>
      </w:r>
      <w:r w:rsidRPr="006A189D">
        <w:rPr>
          <w:rFonts w:cs="Calibri"/>
          <w:bCs/>
          <w:sz w:val="24"/>
          <w:szCs w:val="24"/>
          <w:lang w:eastAsia="hu-HU"/>
        </w:rPr>
        <w:t xml:space="preserve"> </w:t>
      </w:r>
      <w:r w:rsidR="003614F9">
        <w:rPr>
          <w:rFonts w:cs="Calibri"/>
          <w:bCs/>
          <w:sz w:val="24"/>
          <w:szCs w:val="24"/>
          <w:lang w:eastAsia="hu-HU"/>
        </w:rPr>
        <w:t>Z</w:t>
      </w:r>
      <w:r w:rsidRPr="006A189D">
        <w:rPr>
          <w:rFonts w:cs="Calibri"/>
          <w:bCs/>
          <w:sz w:val="24"/>
          <w:szCs w:val="24"/>
          <w:lang w:eastAsia="hu-HU"/>
        </w:rPr>
        <w:t>důraznil</w:t>
      </w:r>
      <w:r w:rsidR="003614F9">
        <w:rPr>
          <w:rFonts w:cs="Calibri"/>
          <w:bCs/>
          <w:sz w:val="24"/>
          <w:szCs w:val="24"/>
          <w:lang w:eastAsia="hu-HU"/>
        </w:rPr>
        <w:t>i však</w:t>
      </w:r>
      <w:r w:rsidRPr="006A189D">
        <w:rPr>
          <w:rFonts w:cs="Calibri"/>
          <w:bCs/>
          <w:sz w:val="24"/>
          <w:szCs w:val="24"/>
          <w:lang w:eastAsia="hu-HU"/>
        </w:rPr>
        <w:t> nutn</w:t>
      </w:r>
      <w:r w:rsidR="003614F9">
        <w:rPr>
          <w:rFonts w:cs="Calibri"/>
          <w:bCs/>
          <w:sz w:val="24"/>
          <w:szCs w:val="24"/>
          <w:lang w:eastAsia="hu-HU"/>
        </w:rPr>
        <w:t>ost</w:t>
      </w:r>
      <w:r w:rsidRPr="006A189D">
        <w:rPr>
          <w:rFonts w:cs="Calibri"/>
          <w:bCs/>
          <w:sz w:val="24"/>
          <w:szCs w:val="24"/>
          <w:lang w:eastAsia="hu-HU"/>
        </w:rPr>
        <w:t xml:space="preserve"> zlepšit postupy a kvalit</w:t>
      </w:r>
      <w:r w:rsidR="003614F9">
        <w:rPr>
          <w:rFonts w:cs="Calibri"/>
          <w:bCs/>
          <w:sz w:val="24"/>
          <w:szCs w:val="24"/>
          <w:lang w:eastAsia="hu-HU"/>
        </w:rPr>
        <w:t>u vkládání dat do</w:t>
      </w:r>
      <w:r w:rsidRPr="006A189D">
        <w:rPr>
          <w:rFonts w:cs="Calibri"/>
          <w:bCs/>
          <w:sz w:val="24"/>
          <w:szCs w:val="24"/>
          <w:lang w:eastAsia="hu-HU"/>
        </w:rPr>
        <w:t xml:space="preserve"> databází</w:t>
      </w:r>
      <w:r w:rsidR="003614F9">
        <w:rPr>
          <w:rFonts w:cs="Calibri"/>
          <w:bCs/>
          <w:sz w:val="24"/>
          <w:szCs w:val="24"/>
          <w:lang w:eastAsia="hu-HU"/>
        </w:rPr>
        <w:t xml:space="preserve"> a </w:t>
      </w:r>
      <w:r w:rsidRPr="006A189D">
        <w:rPr>
          <w:rFonts w:cs="Calibri"/>
          <w:bCs/>
          <w:sz w:val="24"/>
          <w:szCs w:val="24"/>
          <w:lang w:eastAsia="hu-HU"/>
        </w:rPr>
        <w:t xml:space="preserve">zachovat </w:t>
      </w:r>
      <w:r w:rsidR="003614F9">
        <w:rPr>
          <w:rFonts w:cs="Calibri"/>
          <w:bCs/>
          <w:sz w:val="24"/>
          <w:szCs w:val="24"/>
          <w:lang w:eastAsia="hu-HU"/>
        </w:rPr>
        <w:t>nebo</w:t>
      </w:r>
      <w:r w:rsidRPr="006A189D">
        <w:rPr>
          <w:rFonts w:cs="Calibri"/>
          <w:bCs/>
          <w:sz w:val="24"/>
          <w:szCs w:val="24"/>
          <w:lang w:eastAsia="hu-HU"/>
        </w:rPr>
        <w:t xml:space="preserve"> </w:t>
      </w:r>
      <w:r w:rsidR="005A3B7C">
        <w:rPr>
          <w:rFonts w:cs="Calibri"/>
          <w:bCs/>
          <w:sz w:val="24"/>
          <w:szCs w:val="24"/>
          <w:lang w:eastAsia="hu-HU"/>
        </w:rPr>
        <w:t>novým celoevropským právním rámcem vytvořit</w:t>
      </w:r>
      <w:r w:rsidR="003614F9" w:rsidRPr="006A189D">
        <w:rPr>
          <w:rFonts w:cs="Calibri"/>
          <w:bCs/>
          <w:sz w:val="24"/>
          <w:szCs w:val="24"/>
          <w:lang w:eastAsia="hu-HU"/>
        </w:rPr>
        <w:t xml:space="preserve"> přístup d</w:t>
      </w:r>
      <w:r w:rsidR="003614F9">
        <w:rPr>
          <w:rFonts w:cs="Calibri"/>
          <w:bCs/>
          <w:sz w:val="24"/>
          <w:szCs w:val="24"/>
          <w:lang w:eastAsia="hu-HU"/>
        </w:rPr>
        <w:t>onucovacích orgánů k </w:t>
      </w:r>
      <w:r w:rsidR="003614F9" w:rsidRPr="006A189D">
        <w:rPr>
          <w:rFonts w:cs="Calibri"/>
          <w:bCs/>
          <w:sz w:val="24"/>
          <w:szCs w:val="24"/>
          <w:lang w:eastAsia="hu-HU"/>
        </w:rPr>
        <w:t>nov</w:t>
      </w:r>
      <w:r w:rsidR="003614F9">
        <w:rPr>
          <w:rFonts w:cs="Calibri"/>
          <w:bCs/>
          <w:sz w:val="24"/>
          <w:szCs w:val="24"/>
          <w:lang w:eastAsia="hu-HU"/>
        </w:rPr>
        <w:t>ým</w:t>
      </w:r>
      <w:r w:rsidR="003614F9" w:rsidRPr="006A189D">
        <w:rPr>
          <w:rFonts w:cs="Calibri"/>
          <w:bCs/>
          <w:sz w:val="24"/>
          <w:szCs w:val="24"/>
          <w:lang w:eastAsia="hu-HU"/>
        </w:rPr>
        <w:t xml:space="preserve"> údaj</w:t>
      </w:r>
      <w:r w:rsidR="003614F9">
        <w:rPr>
          <w:rFonts w:cs="Calibri"/>
          <w:bCs/>
          <w:sz w:val="24"/>
          <w:szCs w:val="24"/>
          <w:lang w:eastAsia="hu-HU"/>
        </w:rPr>
        <w:t>ům</w:t>
      </w:r>
      <w:r w:rsidR="003614F9" w:rsidRPr="006A189D">
        <w:rPr>
          <w:rFonts w:cs="Calibri"/>
          <w:bCs/>
          <w:sz w:val="24"/>
          <w:szCs w:val="24"/>
          <w:lang w:eastAsia="hu-HU"/>
        </w:rPr>
        <w:t xml:space="preserve">, zejména </w:t>
      </w:r>
      <w:r w:rsidR="003614F9">
        <w:rPr>
          <w:rFonts w:cs="Calibri"/>
          <w:bCs/>
          <w:sz w:val="24"/>
          <w:szCs w:val="24"/>
          <w:lang w:eastAsia="hu-HU"/>
        </w:rPr>
        <w:t>v souvislosti s</w:t>
      </w:r>
      <w:r w:rsidR="00907A88">
        <w:rPr>
          <w:rFonts w:cs="Calibri"/>
          <w:bCs/>
          <w:sz w:val="24"/>
          <w:szCs w:val="24"/>
          <w:lang w:eastAsia="hu-HU"/>
        </w:rPr>
        <w:t> </w:t>
      </w:r>
      <w:r w:rsidR="003614F9" w:rsidRPr="006A189D">
        <w:rPr>
          <w:rFonts w:cs="Calibri"/>
          <w:bCs/>
          <w:sz w:val="24"/>
          <w:szCs w:val="24"/>
          <w:lang w:eastAsia="hu-HU"/>
        </w:rPr>
        <w:t>přechod</w:t>
      </w:r>
      <w:r w:rsidR="003614F9">
        <w:rPr>
          <w:rFonts w:cs="Calibri"/>
          <w:bCs/>
          <w:sz w:val="24"/>
          <w:szCs w:val="24"/>
          <w:lang w:eastAsia="hu-HU"/>
        </w:rPr>
        <w:t>em</w:t>
      </w:r>
      <w:r w:rsidR="00907A88">
        <w:rPr>
          <w:rFonts w:cs="Calibri"/>
          <w:bCs/>
          <w:sz w:val="24"/>
          <w:szCs w:val="24"/>
          <w:lang w:eastAsia="hu-HU"/>
        </w:rPr>
        <w:t xml:space="preserve"> </w:t>
      </w:r>
      <w:r w:rsidR="003614F9" w:rsidRPr="006A189D">
        <w:rPr>
          <w:rFonts w:cs="Calibri"/>
          <w:bCs/>
          <w:sz w:val="24"/>
          <w:szCs w:val="24"/>
          <w:lang w:eastAsia="hu-HU"/>
        </w:rPr>
        <w:t>vnějších hranic</w:t>
      </w:r>
      <w:r w:rsidR="005A3B7C">
        <w:rPr>
          <w:rFonts w:cs="Calibri"/>
          <w:bCs/>
          <w:sz w:val="24"/>
          <w:szCs w:val="24"/>
          <w:lang w:eastAsia="hu-HU"/>
        </w:rPr>
        <w:t>.</w:t>
      </w:r>
    </w:p>
    <w:p w:rsidR="000A2DB4" w:rsidRPr="006A189D" w:rsidRDefault="000A2DB4">
      <w:pPr>
        <w:spacing w:after="80"/>
        <w:jc w:val="both"/>
        <w:rPr>
          <w:b/>
          <w:sz w:val="24"/>
          <w:szCs w:val="24"/>
        </w:rPr>
      </w:pPr>
    </w:p>
    <w:p w:rsidR="003614F9" w:rsidRDefault="003614F9" w:rsidP="003614F9">
      <w:pPr>
        <w:spacing w:after="80"/>
        <w:jc w:val="center"/>
        <w:rPr>
          <w:b/>
          <w:sz w:val="24"/>
          <w:szCs w:val="24"/>
        </w:rPr>
      </w:pPr>
      <w:r w:rsidRPr="003614F9">
        <w:rPr>
          <w:b/>
          <w:sz w:val="24"/>
          <w:szCs w:val="24"/>
        </w:rPr>
        <w:t>Pos</w:t>
      </w:r>
      <w:r w:rsidRPr="003614F9">
        <w:rPr>
          <w:rFonts w:hint="cs"/>
          <w:b/>
          <w:sz w:val="24"/>
          <w:szCs w:val="24"/>
        </w:rPr>
        <w:t>í</w:t>
      </w:r>
      <w:r w:rsidRPr="003614F9">
        <w:rPr>
          <w:b/>
          <w:sz w:val="24"/>
          <w:szCs w:val="24"/>
        </w:rPr>
        <w:t>len</w:t>
      </w:r>
      <w:r w:rsidRPr="003614F9">
        <w:rPr>
          <w:rFonts w:hint="cs"/>
          <w:b/>
          <w:sz w:val="24"/>
          <w:szCs w:val="24"/>
        </w:rPr>
        <w:t>á</w:t>
      </w:r>
      <w:r w:rsidRPr="003614F9">
        <w:rPr>
          <w:b/>
          <w:sz w:val="24"/>
          <w:szCs w:val="24"/>
        </w:rPr>
        <w:t xml:space="preserve"> spolupr</w:t>
      </w:r>
      <w:r w:rsidRPr="003614F9">
        <w:rPr>
          <w:rFonts w:hint="cs"/>
          <w:b/>
          <w:sz w:val="24"/>
          <w:szCs w:val="24"/>
        </w:rPr>
        <w:t>á</w:t>
      </w:r>
      <w:r w:rsidRPr="003614F9">
        <w:rPr>
          <w:b/>
          <w:sz w:val="24"/>
          <w:szCs w:val="24"/>
        </w:rPr>
        <w:t>ce p</w:t>
      </w:r>
      <w:r w:rsidRPr="003614F9">
        <w:rPr>
          <w:rFonts w:hint="cs"/>
          <w:b/>
          <w:sz w:val="24"/>
          <w:szCs w:val="24"/>
        </w:rPr>
        <w:t>ř</w:t>
      </w:r>
      <w:r w:rsidRPr="003614F9">
        <w:rPr>
          <w:b/>
          <w:sz w:val="24"/>
          <w:szCs w:val="24"/>
        </w:rPr>
        <w:t>i p</w:t>
      </w:r>
      <w:r w:rsidRPr="003614F9">
        <w:rPr>
          <w:rFonts w:hint="cs"/>
          <w:b/>
          <w:sz w:val="24"/>
          <w:szCs w:val="24"/>
        </w:rPr>
        <w:t>ř</w:t>
      </w:r>
      <w:r w:rsidRPr="003614F9">
        <w:rPr>
          <w:b/>
          <w:sz w:val="24"/>
          <w:szCs w:val="24"/>
        </w:rPr>
        <w:t>eshrani</w:t>
      </w:r>
      <w:r w:rsidRPr="003614F9">
        <w:rPr>
          <w:rFonts w:hint="cs"/>
          <w:b/>
          <w:sz w:val="24"/>
          <w:szCs w:val="24"/>
        </w:rPr>
        <w:t>č</w:t>
      </w:r>
      <w:r w:rsidRPr="003614F9">
        <w:rPr>
          <w:b/>
          <w:sz w:val="24"/>
          <w:szCs w:val="24"/>
        </w:rPr>
        <w:t>n</w:t>
      </w:r>
      <w:r w:rsidRPr="003614F9">
        <w:rPr>
          <w:rFonts w:hint="cs"/>
          <w:b/>
          <w:sz w:val="24"/>
          <w:szCs w:val="24"/>
        </w:rPr>
        <w:t>í</w:t>
      </w:r>
      <w:r w:rsidRPr="003614F9">
        <w:rPr>
          <w:b/>
          <w:sz w:val="24"/>
          <w:szCs w:val="24"/>
        </w:rPr>
        <w:t>m p</w:t>
      </w:r>
      <w:r w:rsidRPr="003614F9">
        <w:rPr>
          <w:rFonts w:hint="cs"/>
          <w:b/>
          <w:sz w:val="24"/>
          <w:szCs w:val="24"/>
        </w:rPr>
        <w:t>á</w:t>
      </w:r>
      <w:r w:rsidRPr="003614F9">
        <w:rPr>
          <w:b/>
          <w:sz w:val="24"/>
          <w:szCs w:val="24"/>
        </w:rPr>
        <w:t>tr</w:t>
      </w:r>
      <w:r w:rsidRPr="003614F9">
        <w:rPr>
          <w:rFonts w:hint="cs"/>
          <w:b/>
          <w:sz w:val="24"/>
          <w:szCs w:val="24"/>
        </w:rPr>
        <w:t>á</w:t>
      </w:r>
      <w:r w:rsidRPr="003614F9">
        <w:rPr>
          <w:b/>
          <w:sz w:val="24"/>
          <w:szCs w:val="24"/>
        </w:rPr>
        <w:t>n</w:t>
      </w:r>
      <w:r w:rsidRPr="003614F9">
        <w:rPr>
          <w:rFonts w:hint="cs"/>
          <w:b/>
          <w:sz w:val="24"/>
          <w:szCs w:val="24"/>
        </w:rPr>
        <w:t>í</w:t>
      </w:r>
      <w:r w:rsidRPr="003614F9">
        <w:rPr>
          <w:b/>
          <w:sz w:val="24"/>
          <w:szCs w:val="24"/>
        </w:rPr>
        <w:t xml:space="preserve"> po poh</w:t>
      </w:r>
      <w:r w:rsidRPr="003614F9">
        <w:rPr>
          <w:rFonts w:hint="cs"/>
          <w:b/>
          <w:sz w:val="24"/>
          <w:szCs w:val="24"/>
        </w:rPr>
        <w:t>ř</w:t>
      </w:r>
      <w:r w:rsidRPr="003614F9">
        <w:rPr>
          <w:b/>
          <w:sz w:val="24"/>
          <w:szCs w:val="24"/>
        </w:rPr>
        <w:t>e</w:t>
      </w:r>
      <w:r w:rsidRPr="003614F9">
        <w:rPr>
          <w:rFonts w:hint="cs"/>
          <w:b/>
          <w:sz w:val="24"/>
          <w:szCs w:val="24"/>
        </w:rPr>
        <w:t>š</w:t>
      </w:r>
      <w:r w:rsidRPr="003614F9">
        <w:rPr>
          <w:b/>
          <w:sz w:val="24"/>
          <w:szCs w:val="24"/>
        </w:rPr>
        <w:t>ovan</w:t>
      </w:r>
      <w:r w:rsidRPr="003614F9">
        <w:rPr>
          <w:rFonts w:hint="cs"/>
          <w:b/>
          <w:sz w:val="24"/>
          <w:szCs w:val="24"/>
        </w:rPr>
        <w:t>ý</w:t>
      </w:r>
      <w:r w:rsidRPr="003614F9">
        <w:rPr>
          <w:b/>
          <w:sz w:val="24"/>
          <w:szCs w:val="24"/>
        </w:rPr>
        <w:t>ch d</w:t>
      </w:r>
      <w:r w:rsidRPr="003614F9">
        <w:rPr>
          <w:rFonts w:hint="cs"/>
          <w:b/>
          <w:sz w:val="24"/>
          <w:szCs w:val="24"/>
        </w:rPr>
        <w:t>ě</w:t>
      </w:r>
      <w:r w:rsidRPr="003614F9">
        <w:rPr>
          <w:b/>
          <w:sz w:val="24"/>
          <w:szCs w:val="24"/>
        </w:rPr>
        <w:t>tech</w:t>
      </w:r>
    </w:p>
    <w:p w:rsidR="000A2DB4" w:rsidRPr="006A189D" w:rsidRDefault="007D5353">
      <w:pPr>
        <w:spacing w:after="80"/>
        <w:jc w:val="both"/>
      </w:pPr>
      <w:r w:rsidRPr="006A189D">
        <w:rPr>
          <w:sz w:val="24"/>
          <w:szCs w:val="24"/>
        </w:rPr>
        <w:t xml:space="preserve">Ministři se shodli na tom, </w:t>
      </w:r>
      <w:r w:rsidR="003614F9">
        <w:rPr>
          <w:sz w:val="24"/>
          <w:szCs w:val="24"/>
        </w:rPr>
        <w:t xml:space="preserve">že </w:t>
      </w:r>
      <w:r w:rsidRPr="006A189D">
        <w:rPr>
          <w:sz w:val="24"/>
          <w:szCs w:val="24"/>
        </w:rPr>
        <w:t>případ</w:t>
      </w:r>
      <w:r w:rsidR="003614F9">
        <w:rPr>
          <w:sz w:val="24"/>
          <w:szCs w:val="24"/>
        </w:rPr>
        <w:t>y</w:t>
      </w:r>
      <w:r w:rsidRPr="006A189D">
        <w:rPr>
          <w:sz w:val="24"/>
          <w:szCs w:val="24"/>
        </w:rPr>
        <w:t xml:space="preserve"> pohřešovaných dětí jsou citlivé povahy a </w:t>
      </w:r>
      <w:r w:rsidR="003614F9">
        <w:rPr>
          <w:sz w:val="24"/>
          <w:szCs w:val="24"/>
        </w:rPr>
        <w:t xml:space="preserve">velmi </w:t>
      </w:r>
      <w:r w:rsidRPr="006A189D">
        <w:rPr>
          <w:sz w:val="24"/>
          <w:szCs w:val="24"/>
        </w:rPr>
        <w:t>naléhav</w:t>
      </w:r>
      <w:r w:rsidR="003614F9">
        <w:rPr>
          <w:sz w:val="24"/>
          <w:szCs w:val="24"/>
        </w:rPr>
        <w:t>é</w:t>
      </w:r>
      <w:r w:rsidRPr="006A189D">
        <w:rPr>
          <w:sz w:val="24"/>
          <w:szCs w:val="24"/>
        </w:rPr>
        <w:t>. Rychl</w:t>
      </w:r>
      <w:r w:rsidR="003614F9">
        <w:rPr>
          <w:sz w:val="24"/>
          <w:szCs w:val="24"/>
        </w:rPr>
        <w:t>á</w:t>
      </w:r>
      <w:r w:rsidRPr="006A189D">
        <w:rPr>
          <w:sz w:val="24"/>
          <w:szCs w:val="24"/>
        </w:rPr>
        <w:t xml:space="preserve"> a účinn</w:t>
      </w:r>
      <w:r w:rsidR="003614F9">
        <w:rPr>
          <w:sz w:val="24"/>
          <w:szCs w:val="24"/>
        </w:rPr>
        <w:t>á</w:t>
      </w:r>
      <w:r w:rsidRPr="006A189D">
        <w:rPr>
          <w:sz w:val="24"/>
          <w:szCs w:val="24"/>
        </w:rPr>
        <w:t xml:space="preserve"> přeshraniční výměn</w:t>
      </w:r>
      <w:r w:rsidR="003614F9">
        <w:rPr>
          <w:sz w:val="24"/>
          <w:szCs w:val="24"/>
        </w:rPr>
        <w:t>a</w:t>
      </w:r>
      <w:r w:rsidRPr="006A189D">
        <w:rPr>
          <w:sz w:val="24"/>
          <w:szCs w:val="24"/>
        </w:rPr>
        <w:t xml:space="preserve"> informací mezi </w:t>
      </w:r>
      <w:r w:rsidR="003614F9">
        <w:rPr>
          <w:sz w:val="24"/>
          <w:szCs w:val="24"/>
        </w:rPr>
        <w:t>národními</w:t>
      </w:r>
      <w:r w:rsidRPr="006A189D">
        <w:rPr>
          <w:sz w:val="24"/>
          <w:szCs w:val="24"/>
        </w:rPr>
        <w:t xml:space="preserve"> donucovacími orgány a jinými odbornými subjekty je proto zásadní. Ministři uvítali iniciativy </w:t>
      </w:r>
      <w:r w:rsidR="00691E15">
        <w:rPr>
          <w:sz w:val="24"/>
          <w:szCs w:val="24"/>
        </w:rPr>
        <w:t>učini</w:t>
      </w:r>
      <w:r w:rsidR="003614F9">
        <w:rPr>
          <w:sz w:val="24"/>
          <w:szCs w:val="24"/>
        </w:rPr>
        <w:t>t</w:t>
      </w:r>
      <w:r w:rsidRPr="006A189D">
        <w:rPr>
          <w:sz w:val="24"/>
          <w:szCs w:val="24"/>
        </w:rPr>
        <w:t xml:space="preserve"> ochranu pohřešovaných dětí priorit</w:t>
      </w:r>
      <w:r w:rsidR="003614F9">
        <w:rPr>
          <w:sz w:val="24"/>
          <w:szCs w:val="24"/>
        </w:rPr>
        <w:t>o</w:t>
      </w:r>
      <w:r w:rsidRPr="006A189D">
        <w:rPr>
          <w:sz w:val="24"/>
          <w:szCs w:val="24"/>
        </w:rPr>
        <w:t>u a zdůraznil</w:t>
      </w:r>
      <w:r w:rsidR="003614F9">
        <w:rPr>
          <w:sz w:val="24"/>
          <w:szCs w:val="24"/>
        </w:rPr>
        <w:t>i</w:t>
      </w:r>
      <w:r w:rsidRPr="006A189D">
        <w:rPr>
          <w:sz w:val="24"/>
          <w:szCs w:val="24"/>
        </w:rPr>
        <w:t xml:space="preserve"> </w:t>
      </w:r>
      <w:r w:rsidR="003614F9">
        <w:rPr>
          <w:sz w:val="24"/>
          <w:szCs w:val="24"/>
        </w:rPr>
        <w:t>v</w:t>
      </w:r>
      <w:r w:rsidRPr="006A189D">
        <w:rPr>
          <w:sz w:val="24"/>
          <w:szCs w:val="24"/>
        </w:rPr>
        <w:t xml:space="preserve">ýznam užší spolupráce </w:t>
      </w:r>
      <w:r w:rsidR="003614F9">
        <w:rPr>
          <w:sz w:val="24"/>
          <w:szCs w:val="24"/>
        </w:rPr>
        <w:t>mezi</w:t>
      </w:r>
      <w:r w:rsidRPr="006A189D">
        <w:rPr>
          <w:sz w:val="24"/>
          <w:szCs w:val="24"/>
        </w:rPr>
        <w:t> agenturami EU, donucovacími orgány a jinými odbornými subjekty. Z toho důvodu uvítal</w:t>
      </w:r>
      <w:r w:rsidR="003614F9">
        <w:rPr>
          <w:sz w:val="24"/>
          <w:szCs w:val="24"/>
        </w:rPr>
        <w:t>i také</w:t>
      </w:r>
      <w:r w:rsidRPr="006A189D">
        <w:rPr>
          <w:sz w:val="24"/>
          <w:szCs w:val="24"/>
        </w:rPr>
        <w:t xml:space="preserve"> </w:t>
      </w:r>
      <w:r w:rsidR="003614F9">
        <w:rPr>
          <w:sz w:val="24"/>
          <w:szCs w:val="24"/>
        </w:rPr>
        <w:t>setkání</w:t>
      </w:r>
      <w:r w:rsidRPr="006A189D">
        <w:rPr>
          <w:sz w:val="24"/>
          <w:szCs w:val="24"/>
        </w:rPr>
        <w:t xml:space="preserve"> </w:t>
      </w:r>
      <w:r w:rsidR="003614F9">
        <w:rPr>
          <w:sz w:val="24"/>
          <w:szCs w:val="24"/>
        </w:rPr>
        <w:t xml:space="preserve">expertů na toto téma, které je plánováno </w:t>
      </w:r>
      <w:r w:rsidRPr="006A189D">
        <w:rPr>
          <w:sz w:val="24"/>
          <w:szCs w:val="24"/>
        </w:rPr>
        <w:t>na první pololetí roku 2017 v České republice.</w:t>
      </w:r>
    </w:p>
    <w:p w:rsidR="000A2DB4" w:rsidRPr="006A189D" w:rsidRDefault="000A2DB4">
      <w:pPr>
        <w:spacing w:after="80"/>
        <w:jc w:val="both"/>
        <w:rPr>
          <w:sz w:val="24"/>
          <w:szCs w:val="24"/>
        </w:rPr>
      </w:pPr>
    </w:p>
    <w:p w:rsidR="003614F9" w:rsidRDefault="003614F9" w:rsidP="003614F9">
      <w:pPr>
        <w:spacing w:after="80"/>
        <w:jc w:val="center"/>
        <w:rPr>
          <w:b/>
          <w:sz w:val="24"/>
          <w:szCs w:val="24"/>
        </w:rPr>
      </w:pPr>
      <w:r w:rsidRPr="003614F9">
        <w:rPr>
          <w:b/>
          <w:sz w:val="24"/>
          <w:szCs w:val="24"/>
        </w:rPr>
        <w:t>Sn</w:t>
      </w:r>
      <w:r w:rsidRPr="003614F9">
        <w:rPr>
          <w:rFonts w:hint="cs"/>
          <w:b/>
          <w:sz w:val="24"/>
          <w:szCs w:val="24"/>
        </w:rPr>
        <w:t>íž</w:t>
      </w:r>
      <w:r w:rsidRPr="003614F9">
        <w:rPr>
          <w:b/>
          <w:sz w:val="24"/>
          <w:szCs w:val="24"/>
        </w:rPr>
        <w:t>en</w:t>
      </w:r>
      <w:r w:rsidRPr="003614F9">
        <w:rPr>
          <w:rFonts w:hint="cs"/>
          <w:b/>
          <w:sz w:val="24"/>
          <w:szCs w:val="24"/>
        </w:rPr>
        <w:t>í</w:t>
      </w:r>
      <w:r w:rsidRPr="003614F9">
        <w:rPr>
          <w:b/>
          <w:sz w:val="24"/>
          <w:szCs w:val="24"/>
        </w:rPr>
        <w:t xml:space="preserve"> produkce metamfetaminu omezen</w:t>
      </w:r>
      <w:r w:rsidRPr="003614F9">
        <w:rPr>
          <w:rFonts w:hint="cs"/>
          <w:b/>
          <w:sz w:val="24"/>
          <w:szCs w:val="24"/>
        </w:rPr>
        <w:t>í</w:t>
      </w:r>
      <w:r w:rsidRPr="003614F9">
        <w:rPr>
          <w:b/>
          <w:sz w:val="24"/>
          <w:szCs w:val="24"/>
        </w:rPr>
        <w:t>m dostupnosti jeho prekurzor</w:t>
      </w:r>
      <w:r w:rsidRPr="003614F9">
        <w:rPr>
          <w:rFonts w:hint="cs"/>
          <w:b/>
          <w:sz w:val="24"/>
          <w:szCs w:val="24"/>
        </w:rPr>
        <w:t>ů</w:t>
      </w:r>
    </w:p>
    <w:p w:rsidR="000A2DB4" w:rsidRPr="006A189D" w:rsidRDefault="007D5353">
      <w:pPr>
        <w:spacing w:after="80"/>
        <w:jc w:val="both"/>
        <w:rPr>
          <w:sz w:val="24"/>
          <w:szCs w:val="24"/>
        </w:rPr>
      </w:pPr>
      <w:r w:rsidRPr="006A189D">
        <w:rPr>
          <w:sz w:val="24"/>
          <w:szCs w:val="24"/>
        </w:rPr>
        <w:t xml:space="preserve">Ministři se shodli na tom, </w:t>
      </w:r>
      <w:r w:rsidR="00691E15">
        <w:rPr>
          <w:sz w:val="24"/>
          <w:szCs w:val="24"/>
        </w:rPr>
        <w:t xml:space="preserve">že </w:t>
      </w:r>
      <w:r w:rsidRPr="006A189D">
        <w:rPr>
          <w:sz w:val="24"/>
          <w:szCs w:val="24"/>
        </w:rPr>
        <w:t>snížení výroby metamfetaminu regulováním dostupnost</w:t>
      </w:r>
      <w:r w:rsidR="00DD625A">
        <w:rPr>
          <w:sz w:val="24"/>
          <w:szCs w:val="24"/>
        </w:rPr>
        <w:t>i</w:t>
      </w:r>
      <w:r w:rsidRPr="006A189D">
        <w:rPr>
          <w:sz w:val="24"/>
          <w:szCs w:val="24"/>
        </w:rPr>
        <w:t xml:space="preserve"> prekur</w:t>
      </w:r>
      <w:r w:rsidR="00DD625A">
        <w:rPr>
          <w:sz w:val="24"/>
          <w:szCs w:val="24"/>
        </w:rPr>
        <w:t>z</w:t>
      </w:r>
      <w:r w:rsidRPr="006A189D">
        <w:rPr>
          <w:sz w:val="24"/>
          <w:szCs w:val="24"/>
        </w:rPr>
        <w:t xml:space="preserve">orů drog </w:t>
      </w:r>
      <w:r w:rsidR="00DD625A">
        <w:rPr>
          <w:sz w:val="24"/>
          <w:szCs w:val="24"/>
        </w:rPr>
        <w:t>je nutné</w:t>
      </w:r>
      <w:r w:rsidR="003614F9">
        <w:rPr>
          <w:sz w:val="24"/>
          <w:szCs w:val="24"/>
        </w:rPr>
        <w:t xml:space="preserve"> a že</w:t>
      </w:r>
      <w:r w:rsidRPr="006A189D">
        <w:rPr>
          <w:sz w:val="24"/>
          <w:szCs w:val="24"/>
        </w:rPr>
        <w:t xml:space="preserve"> </w:t>
      </w:r>
      <w:r w:rsidR="003614F9">
        <w:rPr>
          <w:sz w:val="24"/>
          <w:szCs w:val="24"/>
        </w:rPr>
        <w:t>monitoring pašování</w:t>
      </w:r>
      <w:r w:rsidRPr="006A189D">
        <w:rPr>
          <w:sz w:val="24"/>
          <w:szCs w:val="24"/>
        </w:rPr>
        <w:t xml:space="preserve"> a domácí</w:t>
      </w:r>
      <w:r w:rsidR="003614F9">
        <w:rPr>
          <w:sz w:val="24"/>
          <w:szCs w:val="24"/>
        </w:rPr>
        <w:t>ho</w:t>
      </w:r>
      <w:r w:rsidRPr="006A189D">
        <w:rPr>
          <w:sz w:val="24"/>
          <w:szCs w:val="24"/>
        </w:rPr>
        <w:t xml:space="preserve"> obchod</w:t>
      </w:r>
      <w:r w:rsidR="003614F9">
        <w:rPr>
          <w:sz w:val="24"/>
          <w:szCs w:val="24"/>
        </w:rPr>
        <w:t>u s</w:t>
      </w:r>
      <w:r w:rsidRPr="006A189D">
        <w:rPr>
          <w:sz w:val="24"/>
          <w:szCs w:val="24"/>
        </w:rPr>
        <w:t xml:space="preserve"> červený</w:t>
      </w:r>
      <w:r w:rsidR="003614F9">
        <w:rPr>
          <w:sz w:val="24"/>
          <w:szCs w:val="24"/>
        </w:rPr>
        <w:t>m</w:t>
      </w:r>
      <w:r w:rsidRPr="006A189D">
        <w:rPr>
          <w:sz w:val="24"/>
          <w:szCs w:val="24"/>
        </w:rPr>
        <w:t xml:space="preserve"> fosfor</w:t>
      </w:r>
      <w:r w:rsidR="003614F9">
        <w:rPr>
          <w:sz w:val="24"/>
          <w:szCs w:val="24"/>
        </w:rPr>
        <w:t>em</w:t>
      </w:r>
      <w:r w:rsidRPr="006A189D">
        <w:rPr>
          <w:sz w:val="24"/>
          <w:szCs w:val="24"/>
        </w:rPr>
        <w:t xml:space="preserve"> a další</w:t>
      </w:r>
      <w:r w:rsidR="003614F9">
        <w:rPr>
          <w:sz w:val="24"/>
          <w:szCs w:val="24"/>
        </w:rPr>
        <w:t>mi</w:t>
      </w:r>
      <w:r w:rsidRPr="006A189D">
        <w:rPr>
          <w:sz w:val="24"/>
          <w:szCs w:val="24"/>
        </w:rPr>
        <w:t xml:space="preserve"> chemický</w:t>
      </w:r>
      <w:r w:rsidR="003614F9">
        <w:rPr>
          <w:sz w:val="24"/>
          <w:szCs w:val="24"/>
        </w:rPr>
        <w:t>mi</w:t>
      </w:r>
      <w:r w:rsidRPr="006A189D">
        <w:rPr>
          <w:sz w:val="24"/>
          <w:szCs w:val="24"/>
        </w:rPr>
        <w:t xml:space="preserve"> látk</w:t>
      </w:r>
      <w:r w:rsidR="003614F9">
        <w:rPr>
          <w:sz w:val="24"/>
          <w:szCs w:val="24"/>
        </w:rPr>
        <w:t>ami</w:t>
      </w:r>
      <w:r w:rsidRPr="006A189D">
        <w:rPr>
          <w:sz w:val="24"/>
          <w:szCs w:val="24"/>
        </w:rPr>
        <w:t>, které mohou být zneužity pro výrobu drog</w:t>
      </w:r>
      <w:r w:rsidR="003614F9">
        <w:rPr>
          <w:sz w:val="24"/>
          <w:szCs w:val="24"/>
        </w:rPr>
        <w:t>,</w:t>
      </w:r>
      <w:r w:rsidRPr="006A189D">
        <w:rPr>
          <w:sz w:val="24"/>
          <w:szCs w:val="24"/>
        </w:rPr>
        <w:t xml:space="preserve"> je rovněž důležité. </w:t>
      </w:r>
      <w:r w:rsidR="003614F9">
        <w:rPr>
          <w:sz w:val="24"/>
          <w:szCs w:val="24"/>
        </w:rPr>
        <w:t>Č</w:t>
      </w:r>
      <w:r w:rsidR="003614F9" w:rsidRPr="006A189D">
        <w:rPr>
          <w:sz w:val="24"/>
          <w:szCs w:val="24"/>
        </w:rPr>
        <w:t xml:space="preserve">lenské státy </w:t>
      </w:r>
      <w:r w:rsidRPr="006A189D">
        <w:rPr>
          <w:sz w:val="24"/>
          <w:szCs w:val="24"/>
        </w:rPr>
        <w:t>Salcburské</w:t>
      </w:r>
      <w:r w:rsidR="003614F9">
        <w:rPr>
          <w:sz w:val="24"/>
          <w:szCs w:val="24"/>
        </w:rPr>
        <w:t>ho</w:t>
      </w:r>
      <w:r w:rsidRPr="006A189D">
        <w:rPr>
          <w:sz w:val="24"/>
          <w:szCs w:val="24"/>
        </w:rPr>
        <w:t xml:space="preserve"> fór</w:t>
      </w:r>
      <w:r w:rsidR="003614F9">
        <w:rPr>
          <w:sz w:val="24"/>
          <w:szCs w:val="24"/>
        </w:rPr>
        <w:t>a</w:t>
      </w:r>
      <w:r w:rsidRPr="006A189D">
        <w:rPr>
          <w:sz w:val="24"/>
          <w:szCs w:val="24"/>
        </w:rPr>
        <w:t xml:space="preserve"> podpoří opatření upravující prodej léčivých přípravků s obsahem pseudoefedrinu a obchod</w:t>
      </w:r>
      <w:r w:rsidR="003614F9">
        <w:rPr>
          <w:sz w:val="24"/>
          <w:szCs w:val="24"/>
        </w:rPr>
        <w:t xml:space="preserve"> s</w:t>
      </w:r>
      <w:r w:rsidRPr="006A189D">
        <w:rPr>
          <w:sz w:val="24"/>
          <w:szCs w:val="24"/>
        </w:rPr>
        <w:t xml:space="preserve"> červený</w:t>
      </w:r>
      <w:r w:rsidR="003614F9">
        <w:rPr>
          <w:sz w:val="24"/>
          <w:szCs w:val="24"/>
        </w:rPr>
        <w:t>m</w:t>
      </w:r>
      <w:r w:rsidRPr="006A189D">
        <w:rPr>
          <w:sz w:val="24"/>
          <w:szCs w:val="24"/>
        </w:rPr>
        <w:t xml:space="preserve"> fosfor</w:t>
      </w:r>
      <w:r w:rsidR="003614F9">
        <w:rPr>
          <w:sz w:val="24"/>
          <w:szCs w:val="24"/>
        </w:rPr>
        <w:t>em</w:t>
      </w:r>
      <w:r w:rsidRPr="006A189D">
        <w:rPr>
          <w:sz w:val="24"/>
          <w:szCs w:val="24"/>
        </w:rPr>
        <w:t xml:space="preserve"> na úrovni EU.</w:t>
      </w:r>
    </w:p>
    <w:p w:rsidR="000A2DB4" w:rsidRPr="006A189D" w:rsidRDefault="000A2DB4">
      <w:pPr>
        <w:spacing w:after="80"/>
        <w:jc w:val="both"/>
        <w:rPr>
          <w:b/>
          <w:sz w:val="24"/>
          <w:szCs w:val="24"/>
        </w:rPr>
      </w:pPr>
    </w:p>
    <w:p w:rsidR="000A2DB4" w:rsidRPr="006A189D" w:rsidRDefault="003614F9">
      <w:pPr>
        <w:spacing w:after="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</w:t>
      </w:r>
      <w:r w:rsidR="00981A7F">
        <w:rPr>
          <w:b/>
          <w:sz w:val="24"/>
          <w:szCs w:val="24"/>
        </w:rPr>
        <w:t>adcházející maďarské</w:t>
      </w:r>
      <w:r w:rsidR="007D5353" w:rsidRPr="006A189D">
        <w:rPr>
          <w:b/>
          <w:sz w:val="24"/>
          <w:szCs w:val="24"/>
        </w:rPr>
        <w:t xml:space="preserve"> předsednictví</w:t>
      </w:r>
      <w:r w:rsidRPr="003614F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Salcburského fóra</w:t>
      </w:r>
    </w:p>
    <w:p w:rsidR="000A2DB4" w:rsidRPr="006A189D" w:rsidRDefault="007D5353">
      <w:pPr>
        <w:spacing w:after="80"/>
        <w:jc w:val="both"/>
        <w:rPr>
          <w:sz w:val="24"/>
          <w:szCs w:val="24"/>
        </w:rPr>
      </w:pPr>
      <w:r w:rsidRPr="006A189D">
        <w:rPr>
          <w:sz w:val="24"/>
          <w:szCs w:val="24"/>
        </w:rPr>
        <w:t>Ministři uvítali informace o programu a priorit</w:t>
      </w:r>
      <w:r w:rsidR="003614F9">
        <w:rPr>
          <w:sz w:val="24"/>
          <w:szCs w:val="24"/>
        </w:rPr>
        <w:t>ách</w:t>
      </w:r>
      <w:r w:rsidRPr="006A189D">
        <w:rPr>
          <w:sz w:val="24"/>
          <w:szCs w:val="24"/>
        </w:rPr>
        <w:t xml:space="preserve"> nadcházejícího maďarského předsednictví </w:t>
      </w:r>
      <w:r w:rsidR="003614F9">
        <w:rPr>
          <w:sz w:val="24"/>
          <w:szCs w:val="24"/>
        </w:rPr>
        <w:t>S</w:t>
      </w:r>
      <w:r w:rsidRPr="006A189D">
        <w:rPr>
          <w:sz w:val="24"/>
          <w:szCs w:val="24"/>
        </w:rPr>
        <w:t>alcburského fóra</w:t>
      </w:r>
      <w:r w:rsidR="003614F9">
        <w:rPr>
          <w:sz w:val="24"/>
          <w:szCs w:val="24"/>
        </w:rPr>
        <w:t xml:space="preserve"> a</w:t>
      </w:r>
      <w:r w:rsidRPr="006A189D">
        <w:rPr>
          <w:sz w:val="24"/>
          <w:szCs w:val="24"/>
        </w:rPr>
        <w:t xml:space="preserve"> vyjádřil</w:t>
      </w:r>
      <w:r w:rsidR="003614F9">
        <w:rPr>
          <w:sz w:val="24"/>
          <w:szCs w:val="24"/>
        </w:rPr>
        <w:t>i</w:t>
      </w:r>
      <w:r w:rsidRPr="006A189D">
        <w:rPr>
          <w:sz w:val="24"/>
          <w:szCs w:val="24"/>
        </w:rPr>
        <w:t xml:space="preserve"> své odhodlání pokračovat v úzké spolupráci.</w:t>
      </w:r>
    </w:p>
    <w:p w:rsidR="000A2DB4" w:rsidRDefault="000A2DB4">
      <w:pPr>
        <w:spacing w:after="80"/>
        <w:jc w:val="both"/>
        <w:rPr>
          <w:sz w:val="24"/>
          <w:szCs w:val="24"/>
        </w:rPr>
      </w:pPr>
    </w:p>
    <w:p w:rsidR="003614F9" w:rsidRPr="006A189D" w:rsidRDefault="003614F9">
      <w:pPr>
        <w:spacing w:after="80"/>
        <w:jc w:val="both"/>
        <w:rPr>
          <w:sz w:val="24"/>
          <w:szCs w:val="24"/>
        </w:rPr>
      </w:pPr>
    </w:p>
    <w:p w:rsidR="000A2DB4" w:rsidRPr="006A189D" w:rsidRDefault="007D5353">
      <w:pPr>
        <w:spacing w:after="80"/>
        <w:jc w:val="center"/>
        <w:rPr>
          <w:b/>
          <w:sz w:val="24"/>
          <w:szCs w:val="24"/>
        </w:rPr>
      </w:pPr>
      <w:r w:rsidRPr="006A189D">
        <w:rPr>
          <w:b/>
          <w:sz w:val="24"/>
          <w:szCs w:val="24"/>
        </w:rPr>
        <w:lastRenderedPageBreak/>
        <w:t xml:space="preserve">Přehled </w:t>
      </w:r>
      <w:r w:rsidR="009F0EA6">
        <w:rPr>
          <w:b/>
          <w:sz w:val="24"/>
          <w:szCs w:val="24"/>
        </w:rPr>
        <w:t xml:space="preserve">aktivit </w:t>
      </w:r>
      <w:r w:rsidRPr="006A189D">
        <w:rPr>
          <w:b/>
          <w:sz w:val="24"/>
          <w:szCs w:val="24"/>
        </w:rPr>
        <w:t>české</w:t>
      </w:r>
      <w:r w:rsidR="00981A7F">
        <w:rPr>
          <w:b/>
          <w:sz w:val="24"/>
          <w:szCs w:val="24"/>
        </w:rPr>
        <w:t>ho</w:t>
      </w:r>
      <w:r w:rsidRPr="006A189D">
        <w:rPr>
          <w:b/>
          <w:sz w:val="24"/>
          <w:szCs w:val="24"/>
        </w:rPr>
        <w:t xml:space="preserve"> předsednictví </w:t>
      </w:r>
      <w:r w:rsidR="009F0EA6">
        <w:rPr>
          <w:b/>
          <w:sz w:val="24"/>
          <w:szCs w:val="24"/>
        </w:rPr>
        <w:t>S</w:t>
      </w:r>
      <w:r w:rsidRPr="006A189D">
        <w:rPr>
          <w:b/>
          <w:sz w:val="24"/>
          <w:szCs w:val="24"/>
        </w:rPr>
        <w:t>alcburského fóra</w:t>
      </w:r>
    </w:p>
    <w:p w:rsidR="000A2DB4" w:rsidRPr="006A189D" w:rsidRDefault="007D5353">
      <w:pPr>
        <w:spacing w:after="80"/>
        <w:jc w:val="both"/>
        <w:rPr>
          <w:caps/>
          <w:sz w:val="24"/>
          <w:szCs w:val="24"/>
        </w:rPr>
      </w:pPr>
      <w:r w:rsidRPr="006A189D">
        <w:rPr>
          <w:sz w:val="24"/>
          <w:szCs w:val="24"/>
        </w:rPr>
        <w:t>Ministři vzali na vědomí s</w:t>
      </w:r>
      <w:r w:rsidR="009F0EA6">
        <w:rPr>
          <w:sz w:val="24"/>
          <w:szCs w:val="24"/>
        </w:rPr>
        <w:t>etkání</w:t>
      </w:r>
      <w:r w:rsidRPr="006A189D">
        <w:rPr>
          <w:sz w:val="24"/>
          <w:szCs w:val="24"/>
        </w:rPr>
        <w:t xml:space="preserve"> kona</w:t>
      </w:r>
      <w:r w:rsidR="009F0EA6">
        <w:rPr>
          <w:sz w:val="24"/>
          <w:szCs w:val="24"/>
        </w:rPr>
        <w:t>ná</w:t>
      </w:r>
      <w:r w:rsidRPr="006A189D">
        <w:rPr>
          <w:sz w:val="24"/>
          <w:szCs w:val="24"/>
        </w:rPr>
        <w:t xml:space="preserve"> během českého předsednictví </w:t>
      </w:r>
      <w:r w:rsidR="009F0EA6">
        <w:rPr>
          <w:sz w:val="24"/>
          <w:szCs w:val="24"/>
        </w:rPr>
        <w:t>S</w:t>
      </w:r>
      <w:r w:rsidR="00981A7F">
        <w:rPr>
          <w:sz w:val="24"/>
          <w:szCs w:val="24"/>
        </w:rPr>
        <w:t>alcburského fóra: Konferenci</w:t>
      </w:r>
      <w:r w:rsidRPr="006A189D">
        <w:rPr>
          <w:sz w:val="24"/>
          <w:szCs w:val="24"/>
        </w:rPr>
        <w:t xml:space="preserve"> o p</w:t>
      </w:r>
      <w:r w:rsidR="009F0EA6">
        <w:rPr>
          <w:sz w:val="24"/>
          <w:szCs w:val="24"/>
        </w:rPr>
        <w:t>olicejní etice</w:t>
      </w:r>
      <w:r w:rsidRPr="006A189D">
        <w:rPr>
          <w:sz w:val="24"/>
          <w:szCs w:val="24"/>
        </w:rPr>
        <w:t xml:space="preserve"> a </w:t>
      </w:r>
      <w:r w:rsidR="009F0EA6">
        <w:rPr>
          <w:sz w:val="24"/>
          <w:szCs w:val="24"/>
        </w:rPr>
        <w:t>integritě</w:t>
      </w:r>
      <w:r w:rsidR="00DD625A">
        <w:rPr>
          <w:sz w:val="24"/>
          <w:szCs w:val="24"/>
        </w:rPr>
        <w:t xml:space="preserve"> (28.–</w:t>
      </w:r>
      <w:r w:rsidRPr="006A189D">
        <w:rPr>
          <w:sz w:val="24"/>
          <w:szCs w:val="24"/>
        </w:rPr>
        <w:t>30. září 2016</w:t>
      </w:r>
      <w:r w:rsidR="009F0EA6">
        <w:rPr>
          <w:sz w:val="24"/>
          <w:szCs w:val="24"/>
        </w:rPr>
        <w:t>, Praha</w:t>
      </w:r>
      <w:r w:rsidR="00981A7F">
        <w:rPr>
          <w:sz w:val="24"/>
          <w:szCs w:val="24"/>
        </w:rPr>
        <w:t>) a Pracovní skupinu</w:t>
      </w:r>
      <w:r w:rsidRPr="006A189D">
        <w:rPr>
          <w:sz w:val="24"/>
          <w:szCs w:val="24"/>
        </w:rPr>
        <w:t xml:space="preserve"> </w:t>
      </w:r>
      <w:r w:rsidR="009F0EA6">
        <w:rPr>
          <w:sz w:val="24"/>
          <w:szCs w:val="24"/>
        </w:rPr>
        <w:t>na</w:t>
      </w:r>
      <w:r w:rsidRPr="006A189D">
        <w:rPr>
          <w:sz w:val="24"/>
          <w:szCs w:val="24"/>
        </w:rPr>
        <w:t xml:space="preserve"> ochranu svědk</w:t>
      </w:r>
      <w:r w:rsidR="009F0EA6">
        <w:rPr>
          <w:sz w:val="24"/>
          <w:szCs w:val="24"/>
        </w:rPr>
        <w:t>a</w:t>
      </w:r>
      <w:r w:rsidRPr="006A189D">
        <w:rPr>
          <w:sz w:val="24"/>
          <w:szCs w:val="24"/>
        </w:rPr>
        <w:t xml:space="preserve"> (10. a 12. října 2016</w:t>
      </w:r>
      <w:r w:rsidR="009F0EA6">
        <w:rPr>
          <w:sz w:val="24"/>
          <w:szCs w:val="24"/>
        </w:rPr>
        <w:t>,</w:t>
      </w:r>
      <w:r w:rsidRPr="006A189D">
        <w:rPr>
          <w:sz w:val="24"/>
          <w:szCs w:val="24"/>
        </w:rPr>
        <w:t xml:space="preserve"> Pra</w:t>
      </w:r>
      <w:r w:rsidR="009F0EA6">
        <w:rPr>
          <w:sz w:val="24"/>
          <w:szCs w:val="24"/>
        </w:rPr>
        <w:t>ha</w:t>
      </w:r>
      <w:r w:rsidRPr="006A189D">
        <w:rPr>
          <w:sz w:val="24"/>
          <w:szCs w:val="24"/>
        </w:rPr>
        <w:t xml:space="preserve">). Vyjádřili souhlas se společnými závěry ze zasedání </w:t>
      </w:r>
      <w:r w:rsidR="009F0EA6">
        <w:rPr>
          <w:sz w:val="24"/>
          <w:szCs w:val="24"/>
        </w:rPr>
        <w:t>policejních prezidentů</w:t>
      </w:r>
      <w:r w:rsidRPr="006A189D">
        <w:rPr>
          <w:sz w:val="24"/>
          <w:szCs w:val="24"/>
        </w:rPr>
        <w:t xml:space="preserve"> </w:t>
      </w:r>
      <w:r w:rsidR="009F0EA6">
        <w:rPr>
          <w:sz w:val="24"/>
          <w:szCs w:val="24"/>
        </w:rPr>
        <w:t>S</w:t>
      </w:r>
      <w:r w:rsidR="00DD625A">
        <w:rPr>
          <w:sz w:val="24"/>
          <w:szCs w:val="24"/>
        </w:rPr>
        <w:t>alcburského fóra (12.–</w:t>
      </w:r>
      <w:r w:rsidRPr="006A189D">
        <w:rPr>
          <w:sz w:val="24"/>
          <w:szCs w:val="24"/>
        </w:rPr>
        <w:t>13. října 2016</w:t>
      </w:r>
      <w:r w:rsidR="009F0EA6">
        <w:rPr>
          <w:sz w:val="24"/>
          <w:szCs w:val="24"/>
        </w:rPr>
        <w:t xml:space="preserve">, </w:t>
      </w:r>
      <w:r w:rsidR="009F0EA6" w:rsidRPr="006A189D">
        <w:rPr>
          <w:sz w:val="24"/>
          <w:szCs w:val="24"/>
        </w:rPr>
        <w:t>Mikulov</w:t>
      </w:r>
      <w:r w:rsidRPr="006A189D">
        <w:rPr>
          <w:sz w:val="24"/>
          <w:szCs w:val="24"/>
        </w:rPr>
        <w:t xml:space="preserve">), kde se </w:t>
      </w:r>
      <w:r w:rsidR="009F0EA6">
        <w:rPr>
          <w:sz w:val="24"/>
          <w:szCs w:val="24"/>
        </w:rPr>
        <w:t>diskutoval</w:t>
      </w:r>
      <w:r w:rsidR="00DD625A">
        <w:rPr>
          <w:sz w:val="24"/>
          <w:szCs w:val="24"/>
        </w:rPr>
        <w:t>o</w:t>
      </w:r>
      <w:r w:rsidR="009F0EA6">
        <w:rPr>
          <w:sz w:val="24"/>
          <w:szCs w:val="24"/>
        </w:rPr>
        <w:t xml:space="preserve"> </w:t>
      </w:r>
      <w:r w:rsidR="00DD625A">
        <w:rPr>
          <w:sz w:val="24"/>
          <w:szCs w:val="24"/>
        </w:rPr>
        <w:t xml:space="preserve">o </w:t>
      </w:r>
      <w:r w:rsidRPr="006A189D">
        <w:rPr>
          <w:sz w:val="24"/>
          <w:szCs w:val="24"/>
        </w:rPr>
        <w:t>posílen</w:t>
      </w:r>
      <w:r w:rsidR="00DD625A">
        <w:rPr>
          <w:sz w:val="24"/>
          <w:szCs w:val="24"/>
        </w:rPr>
        <w:t>é</w:t>
      </w:r>
      <w:r w:rsidRPr="006A189D">
        <w:rPr>
          <w:sz w:val="24"/>
          <w:szCs w:val="24"/>
        </w:rPr>
        <w:t xml:space="preserve"> výměn</w:t>
      </w:r>
      <w:r w:rsidR="00DD625A">
        <w:rPr>
          <w:sz w:val="24"/>
          <w:szCs w:val="24"/>
        </w:rPr>
        <w:t>ě</w:t>
      </w:r>
      <w:r w:rsidRPr="006A189D">
        <w:rPr>
          <w:sz w:val="24"/>
          <w:szCs w:val="24"/>
        </w:rPr>
        <w:t xml:space="preserve"> informací v oblasti boje proti terorismu a boje proti nelegální migraci, </w:t>
      </w:r>
      <w:r w:rsidR="00981A7F">
        <w:rPr>
          <w:sz w:val="24"/>
          <w:szCs w:val="24"/>
        </w:rPr>
        <w:t>jakož i</w:t>
      </w:r>
      <w:r w:rsidRPr="006A189D">
        <w:rPr>
          <w:sz w:val="24"/>
          <w:szCs w:val="24"/>
        </w:rPr>
        <w:t xml:space="preserve"> </w:t>
      </w:r>
      <w:r w:rsidR="00DD625A">
        <w:rPr>
          <w:sz w:val="24"/>
          <w:szCs w:val="24"/>
        </w:rPr>
        <w:t xml:space="preserve">o </w:t>
      </w:r>
      <w:r w:rsidRPr="006A189D">
        <w:rPr>
          <w:sz w:val="24"/>
          <w:szCs w:val="24"/>
        </w:rPr>
        <w:t>úlo</w:t>
      </w:r>
      <w:r w:rsidR="00DD625A">
        <w:rPr>
          <w:sz w:val="24"/>
          <w:szCs w:val="24"/>
        </w:rPr>
        <w:t>ze</w:t>
      </w:r>
      <w:r w:rsidRPr="006A189D">
        <w:rPr>
          <w:sz w:val="24"/>
          <w:szCs w:val="24"/>
        </w:rPr>
        <w:t xml:space="preserve"> Interpolu v obou těchto oblastech.</w:t>
      </w:r>
    </w:p>
    <w:p w:rsidR="000A2DB4" w:rsidRPr="006A189D" w:rsidRDefault="000A2DB4">
      <w:pPr>
        <w:spacing w:after="80"/>
        <w:jc w:val="both"/>
        <w:rPr>
          <w:sz w:val="24"/>
          <w:szCs w:val="24"/>
        </w:rPr>
      </w:pPr>
    </w:p>
    <w:p w:rsidR="000A2DB4" w:rsidRPr="006A189D" w:rsidRDefault="007D5353">
      <w:pPr>
        <w:spacing w:after="80"/>
        <w:jc w:val="both"/>
        <w:rPr>
          <w:i/>
          <w:sz w:val="24"/>
          <w:szCs w:val="24"/>
        </w:rPr>
      </w:pPr>
      <w:r w:rsidRPr="006A189D">
        <w:rPr>
          <w:i/>
          <w:sz w:val="24"/>
          <w:szCs w:val="24"/>
        </w:rPr>
        <w:t>V Praze dne 4. listopadu 2016</w:t>
      </w:r>
    </w:p>
    <w:p w:rsidR="000A2DB4" w:rsidRPr="006A189D" w:rsidRDefault="000A2DB4"/>
    <w:sectPr w:rsidR="000A2DB4" w:rsidRPr="006A189D">
      <w:headerReference w:type="default" r:id="rId8"/>
      <w:pgSz w:w="11906" w:h="16838"/>
      <w:pgMar w:top="2953" w:right="907" w:bottom="1418" w:left="90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657" w:rsidRDefault="00533657">
      <w:pPr>
        <w:spacing w:after="0" w:line="240" w:lineRule="auto"/>
      </w:pPr>
      <w:r>
        <w:separator/>
      </w:r>
    </w:p>
  </w:endnote>
  <w:endnote w:type="continuationSeparator" w:id="0">
    <w:p w:rsidR="00533657" w:rsidRDefault="0053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Bitstream Ver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bac G3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657" w:rsidRDefault="00533657">
      <w:r>
        <w:separator/>
      </w:r>
    </w:p>
  </w:footnote>
  <w:footnote w:type="continuationSeparator" w:id="0">
    <w:p w:rsidR="00533657" w:rsidRDefault="00533657">
      <w:r>
        <w:continuationSeparator/>
      </w:r>
    </w:p>
  </w:footnote>
  <w:footnote w:id="1">
    <w:p w:rsidR="000A2DB4" w:rsidRDefault="007D5353">
      <w:pPr>
        <w:pStyle w:val="Textpoznpodarou"/>
      </w:pPr>
      <w:r w:rsidRPr="00074EC1">
        <w:rPr>
          <w:vertAlign w:val="superscript"/>
          <w:lang w:val="en-GB" w:eastAsia="cs-CZ"/>
        </w:rPr>
        <w:footnoteRef/>
      </w:r>
      <w:r w:rsidR="00E8132A">
        <w:rPr>
          <w:lang w:val="en-GB" w:eastAsia="cs-CZ"/>
        </w:rPr>
        <w:t xml:space="preserve"> </w:t>
      </w:r>
      <w:r w:rsidRPr="00E8132A">
        <w:rPr>
          <w:lang w:eastAsia="cs-CZ"/>
        </w:rPr>
        <w:t>Tímto označením nejsou dotčeny postoje k otázce statusu a označení je v souladu s rezolucí Rady bezpečnosti OSN 1244 a se stanoviskem Mezinárodního soudního dvora k vyhlášení nezávislosti Kosova.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B4" w:rsidRDefault="007D5353">
    <w:pPr>
      <w:pStyle w:val="Zhlav"/>
    </w:pPr>
    <w:r>
      <w:rPr>
        <w:noProof/>
        <w:lang w:eastAsia="cs-CZ"/>
      </w:rPr>
      <w:drawing>
        <wp:inline distT="0" distB="0" distL="0" distR="0" wp14:anchorId="4B6588F3" wp14:editId="1143A53A">
          <wp:extent cx="1315085" cy="159131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1314360" cy="159084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0" distR="0" simplePos="0" relativeHeight="4" behindDoc="1" locked="0" layoutInCell="1" allowOverlap="1" wp14:anchorId="6B265877" wp14:editId="391CC87D">
          <wp:simplePos x="0" y="0"/>
          <wp:positionH relativeFrom="column">
            <wp:posOffset>2852420</wp:posOffset>
          </wp:positionH>
          <wp:positionV relativeFrom="margin">
            <wp:posOffset>-1456690</wp:posOffset>
          </wp:positionV>
          <wp:extent cx="3601085" cy="1210310"/>
          <wp:effectExtent l="0" t="0" r="0" b="0"/>
          <wp:wrapSquare wrapText="bothSides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3600360" cy="12096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B4"/>
    <w:rsid w:val="00074EC1"/>
    <w:rsid w:val="000A2DB4"/>
    <w:rsid w:val="00232214"/>
    <w:rsid w:val="0023529D"/>
    <w:rsid w:val="00357CF5"/>
    <w:rsid w:val="003614F9"/>
    <w:rsid w:val="00380F01"/>
    <w:rsid w:val="004B33FF"/>
    <w:rsid w:val="00533657"/>
    <w:rsid w:val="00566616"/>
    <w:rsid w:val="005979F7"/>
    <w:rsid w:val="005A3B7C"/>
    <w:rsid w:val="005D0BCD"/>
    <w:rsid w:val="00665207"/>
    <w:rsid w:val="00691E15"/>
    <w:rsid w:val="006A189D"/>
    <w:rsid w:val="006B0FFC"/>
    <w:rsid w:val="007D5353"/>
    <w:rsid w:val="00907A88"/>
    <w:rsid w:val="00935CD2"/>
    <w:rsid w:val="00981A7F"/>
    <w:rsid w:val="009F0EA6"/>
    <w:rsid w:val="00A9546A"/>
    <w:rsid w:val="00AE10AB"/>
    <w:rsid w:val="00B14F71"/>
    <w:rsid w:val="00B546F0"/>
    <w:rsid w:val="00BB7902"/>
    <w:rsid w:val="00DD625A"/>
    <w:rsid w:val="00E03BEB"/>
    <w:rsid w:val="00E8132A"/>
    <w:rsid w:val="00F5452E"/>
    <w:rsid w:val="00F9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Heading"/>
    <w:qFormat/>
    <w:pPr>
      <w:outlineLvl w:val="0"/>
    </w:pPr>
  </w:style>
  <w:style w:type="paragraph" w:styleId="Nadpis2">
    <w:name w:val="heading 2"/>
    <w:basedOn w:val="Heading"/>
    <w:qFormat/>
    <w:pPr>
      <w:outlineLvl w:val="1"/>
    </w:pPr>
  </w:style>
  <w:style w:type="paragraph" w:styleId="Nadpis3">
    <w:name w:val="heading 3"/>
    <w:basedOn w:val="Heading"/>
    <w:qFormat/>
    <w:p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qFormat/>
    <w:rPr>
      <w:rFonts w:cs="Times New Roman"/>
    </w:rPr>
  </w:style>
  <w:style w:type="character" w:customStyle="1" w:styleId="ZpatChar">
    <w:name w:val="Zápatí Char"/>
    <w:qFormat/>
    <w:rPr>
      <w:rFonts w:cs="Times New Roman"/>
    </w:rPr>
  </w:style>
  <w:style w:type="character" w:customStyle="1" w:styleId="perexmezititulek">
    <w:name w:val=":: perex | mezititulek"/>
    <w:qFormat/>
    <w:rPr>
      <w:rFonts w:ascii="Tabac G3" w:hAnsi="Tabac G3" w:cs="Tabac G3"/>
      <w:b/>
      <w:bCs/>
      <w:spacing w:val="0"/>
      <w:sz w:val="18"/>
      <w:szCs w:val="18"/>
      <w:lang w:val="cs-CZ"/>
    </w:rPr>
  </w:style>
  <w:style w:type="character" w:styleId="Znakapoznpodarou">
    <w:name w:val="footnote reference"/>
    <w:qFormat/>
    <w:rPr>
      <w:rFonts w:cs="Times New Roman"/>
      <w:vertAlign w:val="superscript"/>
    </w:rPr>
  </w:style>
  <w:style w:type="character" w:customStyle="1" w:styleId="TextpoznpodarouChar">
    <w:name w:val="Text pozn. pod čarou Char"/>
    <w:qFormat/>
    <w:rPr>
      <w:rFonts w:cs="Times New Roman"/>
      <w:sz w:val="20"/>
      <w:szCs w:val="20"/>
    </w:rPr>
  </w:style>
  <w:style w:type="character" w:styleId="Odkaznakoment">
    <w:name w:val="annotation reference"/>
    <w:qFormat/>
    <w:rPr>
      <w:rFonts w:cs="Times New Roman"/>
      <w:sz w:val="16"/>
      <w:szCs w:val="16"/>
    </w:rPr>
  </w:style>
  <w:style w:type="character" w:customStyle="1" w:styleId="TextkomenteChar">
    <w:name w:val="Text komentáře Char"/>
    <w:qFormat/>
    <w:rPr>
      <w:rFonts w:cs="Times New Roman"/>
      <w:sz w:val="20"/>
      <w:szCs w:val="20"/>
      <w:lang w:val="cs-CZ" w:eastAsia="en-US"/>
    </w:rPr>
  </w:style>
  <w:style w:type="character" w:customStyle="1" w:styleId="PedmtkomenteChar">
    <w:name w:val="Předmět komentáře Char"/>
    <w:qFormat/>
    <w:rPr>
      <w:rFonts w:cs="Times New Roman"/>
      <w:b/>
      <w:bCs/>
      <w:sz w:val="20"/>
      <w:szCs w:val="20"/>
      <w:lang w:val="cs-CZ" w:eastAsia="en-US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ln"/>
    <w:next w:val="TextBody"/>
    <w:qFormat/>
    <w:pPr>
      <w:keepNext/>
      <w:spacing w:before="240" w:after="120"/>
    </w:pPr>
    <w:rPr>
      <w:rFonts w:ascii="Liberation Sans" w:eastAsia="Bitstream Vera Sans" w:hAnsi="Liberation Sans" w:cs="Bitstream Vera Sans"/>
      <w:sz w:val="28"/>
      <w:szCs w:val="28"/>
    </w:rPr>
  </w:style>
  <w:style w:type="paragraph" w:customStyle="1" w:styleId="TextBody">
    <w:name w:val="Text Body"/>
    <w:basedOn w:val="Normln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bubliny">
    <w:name w:val="Balloon Text"/>
    <w:basedOn w:val="Normln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dstaveczkladn">
    <w:name w:val="odstavec základní"/>
    <w:basedOn w:val="Normln"/>
    <w:qFormat/>
    <w:pPr>
      <w:tabs>
        <w:tab w:val="left" w:pos="198"/>
      </w:tabs>
      <w:spacing w:after="0" w:line="288" w:lineRule="auto"/>
      <w:jc w:val="both"/>
      <w:textAlignment w:val="center"/>
    </w:pPr>
    <w:rPr>
      <w:rFonts w:ascii="Tabac G3" w:hAnsi="Tabac G3" w:cs="Tabac G3"/>
      <w:color w:val="000000"/>
      <w:sz w:val="18"/>
      <w:szCs w:val="18"/>
    </w:rPr>
  </w:style>
  <w:style w:type="paragraph" w:styleId="Textpoznpodarou">
    <w:name w:val="footnote text"/>
    <w:basedOn w:val="Normln"/>
    <w:qFormat/>
    <w:pPr>
      <w:spacing w:after="0" w:line="240" w:lineRule="auto"/>
    </w:pPr>
    <w:rPr>
      <w:sz w:val="20"/>
      <w:szCs w:val="20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paragraph" w:styleId="Pedmtkomente">
    <w:name w:val="annotation subject"/>
    <w:basedOn w:val="Textkomente"/>
    <w:qFormat/>
    <w:rPr>
      <w:b/>
      <w:bCs/>
    </w:rPr>
  </w:style>
  <w:style w:type="paragraph" w:customStyle="1" w:styleId="Footnote">
    <w:name w:val="Footnote"/>
    <w:basedOn w:val="Normln"/>
  </w:style>
  <w:style w:type="paragraph" w:customStyle="1" w:styleId="Quotations">
    <w:name w:val="Quotations"/>
    <w:basedOn w:val="Normln"/>
    <w:qFormat/>
  </w:style>
  <w:style w:type="paragraph" w:styleId="Nzev">
    <w:name w:val="Title"/>
    <w:basedOn w:val="Heading"/>
    <w:qFormat/>
  </w:style>
  <w:style w:type="paragraph" w:styleId="Podtitul">
    <w:name w:val="Subtitle"/>
    <w:basedOn w:val="Heading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Heading"/>
    <w:qFormat/>
    <w:pPr>
      <w:outlineLvl w:val="0"/>
    </w:pPr>
  </w:style>
  <w:style w:type="paragraph" w:styleId="Nadpis2">
    <w:name w:val="heading 2"/>
    <w:basedOn w:val="Heading"/>
    <w:qFormat/>
    <w:pPr>
      <w:outlineLvl w:val="1"/>
    </w:pPr>
  </w:style>
  <w:style w:type="paragraph" w:styleId="Nadpis3">
    <w:name w:val="heading 3"/>
    <w:basedOn w:val="Heading"/>
    <w:qFormat/>
    <w:p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qFormat/>
    <w:rPr>
      <w:rFonts w:cs="Times New Roman"/>
    </w:rPr>
  </w:style>
  <w:style w:type="character" w:customStyle="1" w:styleId="ZpatChar">
    <w:name w:val="Zápatí Char"/>
    <w:qFormat/>
    <w:rPr>
      <w:rFonts w:cs="Times New Roman"/>
    </w:rPr>
  </w:style>
  <w:style w:type="character" w:customStyle="1" w:styleId="perexmezititulek">
    <w:name w:val=":: perex | mezititulek"/>
    <w:qFormat/>
    <w:rPr>
      <w:rFonts w:ascii="Tabac G3" w:hAnsi="Tabac G3" w:cs="Tabac G3"/>
      <w:b/>
      <w:bCs/>
      <w:spacing w:val="0"/>
      <w:sz w:val="18"/>
      <w:szCs w:val="18"/>
      <w:lang w:val="cs-CZ"/>
    </w:rPr>
  </w:style>
  <w:style w:type="character" w:styleId="Znakapoznpodarou">
    <w:name w:val="footnote reference"/>
    <w:qFormat/>
    <w:rPr>
      <w:rFonts w:cs="Times New Roman"/>
      <w:vertAlign w:val="superscript"/>
    </w:rPr>
  </w:style>
  <w:style w:type="character" w:customStyle="1" w:styleId="TextpoznpodarouChar">
    <w:name w:val="Text pozn. pod čarou Char"/>
    <w:qFormat/>
    <w:rPr>
      <w:rFonts w:cs="Times New Roman"/>
      <w:sz w:val="20"/>
      <w:szCs w:val="20"/>
    </w:rPr>
  </w:style>
  <w:style w:type="character" w:styleId="Odkaznakoment">
    <w:name w:val="annotation reference"/>
    <w:qFormat/>
    <w:rPr>
      <w:rFonts w:cs="Times New Roman"/>
      <w:sz w:val="16"/>
      <w:szCs w:val="16"/>
    </w:rPr>
  </w:style>
  <w:style w:type="character" w:customStyle="1" w:styleId="TextkomenteChar">
    <w:name w:val="Text komentáře Char"/>
    <w:qFormat/>
    <w:rPr>
      <w:rFonts w:cs="Times New Roman"/>
      <w:sz w:val="20"/>
      <w:szCs w:val="20"/>
      <w:lang w:val="cs-CZ" w:eastAsia="en-US"/>
    </w:rPr>
  </w:style>
  <w:style w:type="character" w:customStyle="1" w:styleId="PedmtkomenteChar">
    <w:name w:val="Předmět komentáře Char"/>
    <w:qFormat/>
    <w:rPr>
      <w:rFonts w:cs="Times New Roman"/>
      <w:b/>
      <w:bCs/>
      <w:sz w:val="20"/>
      <w:szCs w:val="20"/>
      <w:lang w:val="cs-CZ" w:eastAsia="en-US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ln"/>
    <w:next w:val="TextBody"/>
    <w:qFormat/>
    <w:pPr>
      <w:keepNext/>
      <w:spacing w:before="240" w:after="120"/>
    </w:pPr>
    <w:rPr>
      <w:rFonts w:ascii="Liberation Sans" w:eastAsia="Bitstream Vera Sans" w:hAnsi="Liberation Sans" w:cs="Bitstream Vera Sans"/>
      <w:sz w:val="28"/>
      <w:szCs w:val="28"/>
    </w:rPr>
  </w:style>
  <w:style w:type="paragraph" w:customStyle="1" w:styleId="TextBody">
    <w:name w:val="Text Body"/>
    <w:basedOn w:val="Normln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bubliny">
    <w:name w:val="Balloon Text"/>
    <w:basedOn w:val="Normln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dstaveczkladn">
    <w:name w:val="odstavec základní"/>
    <w:basedOn w:val="Normln"/>
    <w:qFormat/>
    <w:pPr>
      <w:tabs>
        <w:tab w:val="left" w:pos="198"/>
      </w:tabs>
      <w:spacing w:after="0" w:line="288" w:lineRule="auto"/>
      <w:jc w:val="both"/>
      <w:textAlignment w:val="center"/>
    </w:pPr>
    <w:rPr>
      <w:rFonts w:ascii="Tabac G3" w:hAnsi="Tabac G3" w:cs="Tabac G3"/>
      <w:color w:val="000000"/>
      <w:sz w:val="18"/>
      <w:szCs w:val="18"/>
    </w:rPr>
  </w:style>
  <w:style w:type="paragraph" w:styleId="Textpoznpodarou">
    <w:name w:val="footnote text"/>
    <w:basedOn w:val="Normln"/>
    <w:qFormat/>
    <w:pPr>
      <w:spacing w:after="0" w:line="240" w:lineRule="auto"/>
    </w:pPr>
    <w:rPr>
      <w:sz w:val="20"/>
      <w:szCs w:val="20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paragraph" w:styleId="Pedmtkomente">
    <w:name w:val="annotation subject"/>
    <w:basedOn w:val="Textkomente"/>
    <w:qFormat/>
    <w:rPr>
      <w:b/>
      <w:bCs/>
    </w:rPr>
  </w:style>
  <w:style w:type="paragraph" w:customStyle="1" w:styleId="Footnote">
    <w:name w:val="Footnote"/>
    <w:basedOn w:val="Normln"/>
  </w:style>
  <w:style w:type="paragraph" w:customStyle="1" w:styleId="Quotations">
    <w:name w:val="Quotations"/>
    <w:basedOn w:val="Normln"/>
    <w:qFormat/>
  </w:style>
  <w:style w:type="paragraph" w:styleId="Nzev">
    <w:name w:val="Title"/>
    <w:basedOn w:val="Heading"/>
    <w:qFormat/>
  </w:style>
  <w:style w:type="paragraph" w:styleId="Podtitul">
    <w:name w:val="Subtitle"/>
    <w:basedOn w:val="Heading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43AA-2904-469B-9AFC-BBD53D6F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MINISTERSKÁ KONFERENCE SALCBURSKÉHO FÓRA</vt:lpstr>
    </vt:vector>
  </TitlesOfParts>
  <Company>Hewlett-Packard Company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MINISTERSKÁ KONFERENCE SALCBURSKÉHO FÓRA</dc:title>
  <dc:creator>Panenková Lucie</dc:creator>
  <cp:lastModifiedBy>MVCR</cp:lastModifiedBy>
  <cp:revision>2</cp:revision>
  <cp:lastPrinted>2016-11-04T09:10:00Z</cp:lastPrinted>
  <dcterms:created xsi:type="dcterms:W3CDTF">2016-11-04T14:18:00Z</dcterms:created>
  <dcterms:modified xsi:type="dcterms:W3CDTF">2016-11-04T14:18:00Z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</Properties>
</file>